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340"/>
        <w:tblW w:w="12248" w:type="dxa"/>
        <w:tblLayout w:type="fixed"/>
        <w:tblCellMar>
          <w:left w:w="0" w:type="dxa"/>
          <w:right w:w="0" w:type="dxa"/>
        </w:tblCellMar>
        <w:tblLook w:val="0000"/>
      </w:tblPr>
      <w:tblGrid>
        <w:gridCol w:w="1170"/>
        <w:gridCol w:w="4734"/>
        <w:gridCol w:w="588"/>
        <w:gridCol w:w="4622"/>
        <w:gridCol w:w="1134"/>
      </w:tblGrid>
      <w:tr w:rsidR="00936424" w:rsidTr="00936424">
        <w:trPr>
          <w:cantSplit/>
          <w:trHeight w:hRule="exact" w:val="1021"/>
        </w:trPr>
        <w:tc>
          <w:tcPr>
            <w:tcW w:w="1170" w:type="dxa"/>
            <w:shd w:val="clear" w:color="auto" w:fill="000000"/>
            <w:vAlign w:val="center"/>
          </w:tcPr>
          <w:p w:rsidR="00936424" w:rsidRPr="0008496E" w:rsidRDefault="00936424" w:rsidP="004C0ADD">
            <w:pPr>
              <w:pStyle w:val="MIAusgabe"/>
              <w:ind w:left="0"/>
              <w:jc w:val="both"/>
              <w:rPr>
                <w:sz w:val="16"/>
                <w:szCs w:val="16"/>
              </w:rPr>
            </w:pPr>
            <w:r w:rsidRPr="004C0ADD">
              <w:rPr>
                <w:sz w:val="16"/>
                <w:szCs w:val="16"/>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59040" cy="3239770"/>
                  <wp:effectExtent l="19050" t="0" r="3810" b="0"/>
                  <wp:wrapNone/>
                  <wp:docPr id="2" name="Bild 2" descr="A1844_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844_0_9"/>
                          <pic:cNvPicPr>
                            <a:picLocks noChangeAspect="1" noChangeArrowheads="1"/>
                          </pic:cNvPicPr>
                        </pic:nvPicPr>
                        <pic:blipFill>
                          <a:blip r:embed="rId8" cstate="print"/>
                          <a:srcRect/>
                          <a:stretch>
                            <a:fillRect/>
                          </a:stretch>
                        </pic:blipFill>
                        <pic:spPr bwMode="auto">
                          <a:xfrm>
                            <a:off x="0" y="0"/>
                            <a:ext cx="7559040" cy="3239770"/>
                          </a:xfrm>
                          <a:prstGeom prst="rect">
                            <a:avLst/>
                          </a:prstGeom>
                          <a:solidFill>
                            <a:srgbClr val="FFFFFF"/>
                          </a:solidFill>
                          <a:ln w="9525">
                            <a:noFill/>
                            <a:miter lim="800000"/>
                            <a:headEnd/>
                            <a:tailEnd/>
                          </a:ln>
                        </pic:spPr>
                      </pic:pic>
                    </a:graphicData>
                  </a:graphic>
                </wp:anchor>
              </w:drawing>
            </w:r>
            <w:r w:rsidR="00F23888">
              <w:rPr>
                <w:sz w:val="16"/>
                <w:szCs w:val="16"/>
              </w:rPr>
              <w:t xml:space="preserve">     </w:t>
            </w:r>
            <w:r w:rsidR="005079A0">
              <w:rPr>
                <w:sz w:val="16"/>
                <w:szCs w:val="16"/>
              </w:rPr>
              <w:t xml:space="preserve"> </w:t>
            </w:r>
            <w:r w:rsidR="0008496E">
              <w:rPr>
                <w:sz w:val="16"/>
                <w:szCs w:val="16"/>
              </w:rPr>
              <w:t xml:space="preserve">  </w:t>
            </w:r>
            <w:r w:rsidR="004C0ADD" w:rsidRPr="0008496E">
              <w:rPr>
                <w:sz w:val="16"/>
                <w:szCs w:val="16"/>
              </w:rPr>
              <w:t xml:space="preserve">Dezember    </w:t>
            </w:r>
          </w:p>
          <w:p w:rsidR="004C0ADD" w:rsidRPr="00F23888" w:rsidRDefault="00F23888" w:rsidP="00F23888">
            <w:pPr>
              <w:pStyle w:val="MIAusgabe"/>
              <w:jc w:val="both"/>
              <w:rPr>
                <w:sz w:val="18"/>
                <w:szCs w:val="18"/>
              </w:rPr>
            </w:pPr>
            <w:r>
              <w:rPr>
                <w:sz w:val="16"/>
                <w:szCs w:val="16"/>
              </w:rPr>
              <w:t xml:space="preserve">    </w:t>
            </w:r>
            <w:r w:rsidR="004C0ADD" w:rsidRPr="00F23888">
              <w:rPr>
                <w:sz w:val="18"/>
                <w:szCs w:val="18"/>
              </w:rPr>
              <w:t>2013</w:t>
            </w:r>
          </w:p>
        </w:tc>
        <w:tc>
          <w:tcPr>
            <w:tcW w:w="9944" w:type="dxa"/>
            <w:gridSpan w:val="3"/>
            <w:shd w:val="clear" w:color="auto" w:fill="CCCCCC"/>
            <w:tcMar>
              <w:left w:w="284" w:type="dxa"/>
              <w:right w:w="284" w:type="dxa"/>
            </w:tcMar>
            <w:vAlign w:val="center"/>
          </w:tcPr>
          <w:p w:rsidR="00936424" w:rsidRPr="00B56703" w:rsidRDefault="00936424" w:rsidP="00936424">
            <w:pPr>
              <w:pStyle w:val="MITitel"/>
              <w:ind w:right="-567"/>
            </w:pPr>
            <w:r w:rsidRPr="0041086A">
              <w:rPr>
                <w:rStyle w:val="Textfett"/>
              </w:rPr>
              <w:t>Die Mandanten</w:t>
            </w:r>
            <w:r>
              <w:t xml:space="preserve"> </w:t>
            </w:r>
            <w:r w:rsidRPr="00C25ED8">
              <w:rPr>
                <w:rStyle w:val="MITrennergro"/>
              </w:rPr>
              <w:t>I</w:t>
            </w:r>
            <w:r>
              <w:t xml:space="preserve"> Information</w:t>
            </w:r>
          </w:p>
        </w:tc>
        <w:tc>
          <w:tcPr>
            <w:tcW w:w="1134" w:type="dxa"/>
            <w:shd w:val="clear" w:color="auto" w:fill="auto"/>
            <w:vAlign w:val="center"/>
          </w:tcPr>
          <w:p w:rsidR="00936424" w:rsidRPr="00B56703" w:rsidRDefault="00936424" w:rsidP="00936424">
            <w:pPr>
              <w:jc w:val="left"/>
            </w:pPr>
          </w:p>
        </w:tc>
      </w:tr>
      <w:tr w:rsidR="00936424" w:rsidTr="00936424">
        <w:trPr>
          <w:cantSplit/>
          <w:trHeight w:hRule="exact" w:val="62"/>
        </w:trPr>
        <w:tc>
          <w:tcPr>
            <w:tcW w:w="1170" w:type="dxa"/>
          </w:tcPr>
          <w:p w:rsidR="00936424" w:rsidRDefault="00936424" w:rsidP="00936424"/>
        </w:tc>
        <w:tc>
          <w:tcPr>
            <w:tcW w:w="4734" w:type="dxa"/>
            <w:shd w:val="clear" w:color="auto" w:fill="auto"/>
            <w:tcMar>
              <w:left w:w="284" w:type="dxa"/>
              <w:right w:w="284" w:type="dxa"/>
            </w:tcMar>
          </w:tcPr>
          <w:p w:rsidR="00936424" w:rsidRDefault="00936424" w:rsidP="00936424"/>
        </w:tc>
        <w:tc>
          <w:tcPr>
            <w:tcW w:w="588" w:type="dxa"/>
            <w:shd w:val="clear" w:color="auto" w:fill="auto"/>
            <w:tcMar>
              <w:left w:w="284" w:type="dxa"/>
              <w:right w:w="284" w:type="dxa"/>
            </w:tcMar>
          </w:tcPr>
          <w:p w:rsidR="00936424" w:rsidRPr="00B56703" w:rsidRDefault="00936424" w:rsidP="00936424"/>
        </w:tc>
        <w:tc>
          <w:tcPr>
            <w:tcW w:w="4622" w:type="dxa"/>
            <w:shd w:val="clear" w:color="auto" w:fill="auto"/>
            <w:tcMar>
              <w:left w:w="284" w:type="dxa"/>
              <w:right w:w="284" w:type="dxa"/>
            </w:tcMar>
          </w:tcPr>
          <w:p w:rsidR="00936424" w:rsidRPr="00B56703" w:rsidRDefault="00936424" w:rsidP="00936424"/>
        </w:tc>
        <w:tc>
          <w:tcPr>
            <w:tcW w:w="1134" w:type="dxa"/>
            <w:shd w:val="clear" w:color="auto" w:fill="auto"/>
          </w:tcPr>
          <w:p w:rsidR="00936424" w:rsidRPr="00B56703" w:rsidRDefault="00936424" w:rsidP="00936424"/>
        </w:tc>
      </w:tr>
      <w:tr w:rsidR="00936424" w:rsidTr="00936424">
        <w:trPr>
          <w:cantSplit/>
        </w:trPr>
        <w:tc>
          <w:tcPr>
            <w:tcW w:w="1170" w:type="dxa"/>
          </w:tcPr>
          <w:p w:rsidR="00936424" w:rsidRDefault="00936424" w:rsidP="00936424">
            <w:pPr>
              <w:jc w:val="center"/>
            </w:pPr>
          </w:p>
        </w:tc>
        <w:tc>
          <w:tcPr>
            <w:tcW w:w="4734" w:type="dxa"/>
            <w:shd w:val="clear" w:color="auto" w:fill="CCCCCC"/>
            <w:tcMar>
              <w:left w:w="284" w:type="dxa"/>
              <w:right w:w="284" w:type="dxa"/>
            </w:tcMar>
          </w:tcPr>
          <w:p w:rsidR="00936424" w:rsidRDefault="00936424" w:rsidP="00936424">
            <w:pPr>
              <w:pStyle w:val="InhaltTitel"/>
              <w:rPr>
                <w:rFonts w:cs="Arial"/>
              </w:rPr>
            </w:pPr>
            <w:r>
              <w:t>Themen dieser Ausgabe</w:t>
            </w:r>
          </w:p>
        </w:tc>
        <w:tc>
          <w:tcPr>
            <w:tcW w:w="588" w:type="dxa"/>
            <w:shd w:val="clear" w:color="auto" w:fill="CCCCCC"/>
            <w:tcMar>
              <w:left w:w="284" w:type="dxa"/>
              <w:right w:w="284" w:type="dxa"/>
            </w:tcMar>
          </w:tcPr>
          <w:p w:rsidR="00936424" w:rsidRPr="00B56703" w:rsidRDefault="00936424" w:rsidP="00936424"/>
        </w:tc>
        <w:tc>
          <w:tcPr>
            <w:tcW w:w="4622" w:type="dxa"/>
            <w:shd w:val="clear" w:color="auto" w:fill="CCCCCC"/>
            <w:tcMar>
              <w:left w:w="284" w:type="dxa"/>
              <w:right w:w="284" w:type="dxa"/>
            </w:tcMar>
          </w:tcPr>
          <w:p w:rsidR="00936424" w:rsidRPr="00B56703" w:rsidRDefault="00936424" w:rsidP="00936424"/>
        </w:tc>
        <w:tc>
          <w:tcPr>
            <w:tcW w:w="1134" w:type="dxa"/>
            <w:shd w:val="clear" w:color="auto" w:fill="auto"/>
          </w:tcPr>
          <w:p w:rsidR="00936424" w:rsidRPr="00B56703" w:rsidRDefault="00936424" w:rsidP="00936424"/>
        </w:tc>
      </w:tr>
      <w:tr w:rsidR="00936424" w:rsidTr="00936424">
        <w:trPr>
          <w:cantSplit/>
        </w:trPr>
        <w:tc>
          <w:tcPr>
            <w:tcW w:w="1170" w:type="dxa"/>
          </w:tcPr>
          <w:p w:rsidR="00936424" w:rsidRDefault="00936424" w:rsidP="00936424">
            <w:pPr>
              <w:rPr>
                <w:rFonts w:cs="Arial"/>
              </w:rPr>
            </w:pPr>
          </w:p>
        </w:tc>
        <w:tc>
          <w:tcPr>
            <w:tcW w:w="4734" w:type="dxa"/>
            <w:shd w:val="clear" w:color="auto" w:fill="CCCCCC"/>
            <w:tcMar>
              <w:left w:w="284" w:type="dxa"/>
              <w:right w:w="284" w:type="dxa"/>
            </w:tcMar>
          </w:tcPr>
          <w:p w:rsidR="00936424" w:rsidRDefault="00936424" w:rsidP="00936424">
            <w:pPr>
              <w:pStyle w:val="InhaltText"/>
            </w:pPr>
            <w:r>
              <w:t>Neues Reisekostenrecht</w:t>
            </w:r>
          </w:p>
          <w:p w:rsidR="00936424" w:rsidRDefault="00936424" w:rsidP="00936424">
            <w:pPr>
              <w:pStyle w:val="InhaltText"/>
            </w:pPr>
            <w:r>
              <w:t>Lohnsteuerabzugsverfahren</w:t>
            </w:r>
          </w:p>
          <w:p w:rsidR="00936424" w:rsidRPr="004214DE" w:rsidRDefault="00936424" w:rsidP="00936424">
            <w:pPr>
              <w:pStyle w:val="InhaltText"/>
            </w:pPr>
            <w:r>
              <w:t>Doppelte Haushaltsführung</w:t>
            </w:r>
          </w:p>
          <w:p w:rsidR="00936424" w:rsidRPr="004214DE" w:rsidRDefault="00936424" w:rsidP="00936424">
            <w:pPr>
              <w:pStyle w:val="InhaltText"/>
            </w:pPr>
            <w:proofErr w:type="spellStart"/>
            <w:r>
              <w:t>Gelangensbestätigung</w:t>
            </w:r>
            <w:proofErr w:type="spellEnd"/>
            <w:r>
              <w:t>: Übergangsfrist verlängert</w:t>
            </w:r>
          </w:p>
          <w:p w:rsidR="00936424" w:rsidRPr="004214DE" w:rsidRDefault="00936424" w:rsidP="00936424">
            <w:pPr>
              <w:pStyle w:val="InhaltText"/>
              <w:numPr>
                <w:ilvl w:val="0"/>
                <w:numId w:val="0"/>
              </w:numPr>
              <w:ind w:left="170"/>
            </w:pPr>
          </w:p>
        </w:tc>
        <w:tc>
          <w:tcPr>
            <w:tcW w:w="588" w:type="dxa"/>
            <w:shd w:val="clear" w:color="auto" w:fill="CCCCCC"/>
            <w:tcMar>
              <w:left w:w="284" w:type="dxa"/>
              <w:right w:w="284" w:type="dxa"/>
            </w:tcMar>
          </w:tcPr>
          <w:p w:rsidR="00936424" w:rsidRPr="004214DE" w:rsidRDefault="00936424" w:rsidP="00936424">
            <w:pPr>
              <w:ind w:left="170" w:right="-284" w:hanging="170"/>
              <w:rPr>
                <w:szCs w:val="21"/>
              </w:rPr>
            </w:pPr>
          </w:p>
        </w:tc>
        <w:tc>
          <w:tcPr>
            <w:tcW w:w="4622" w:type="dxa"/>
            <w:shd w:val="clear" w:color="auto" w:fill="CCCCCC"/>
            <w:tcMar>
              <w:left w:w="284" w:type="dxa"/>
              <w:right w:w="284" w:type="dxa"/>
            </w:tcMar>
          </w:tcPr>
          <w:p w:rsidR="00936424" w:rsidRPr="00956372" w:rsidRDefault="00936424" w:rsidP="00936424">
            <w:pPr>
              <w:pStyle w:val="InhaltText"/>
              <w:rPr>
                <w:rFonts w:cs="Arial"/>
              </w:rPr>
            </w:pPr>
            <w:r w:rsidRPr="00576FE8">
              <w:t>Herstellungskosten vs</w:t>
            </w:r>
            <w:r>
              <w:t>.</w:t>
            </w:r>
            <w:r w:rsidRPr="00576FE8">
              <w:t xml:space="preserve"> Erhaltungsaufwand</w:t>
            </w:r>
          </w:p>
          <w:p w:rsidR="00936424" w:rsidRDefault="00936424" w:rsidP="00936424">
            <w:pPr>
              <w:pStyle w:val="InhaltText"/>
              <w:rPr>
                <w:rFonts w:cs="Arial"/>
              </w:rPr>
            </w:pPr>
            <w:r>
              <w:rPr>
                <w:rFonts w:cs="Arial"/>
              </w:rPr>
              <w:t>Rechengrößen/Sachbezugswerte 2014</w:t>
            </w:r>
          </w:p>
          <w:p w:rsidR="00936424" w:rsidRPr="004214DE" w:rsidRDefault="00936424" w:rsidP="00936424">
            <w:pPr>
              <w:pStyle w:val="InhaltText"/>
              <w:rPr>
                <w:rFonts w:cs="Arial"/>
              </w:rPr>
            </w:pPr>
            <w:r>
              <w:rPr>
                <w:rFonts w:cs="Arial"/>
              </w:rPr>
              <w:t>Sonstiges</w:t>
            </w:r>
          </w:p>
        </w:tc>
        <w:tc>
          <w:tcPr>
            <w:tcW w:w="1134" w:type="dxa"/>
            <w:shd w:val="clear" w:color="auto" w:fill="auto"/>
          </w:tcPr>
          <w:p w:rsidR="00936424" w:rsidRPr="00B56703" w:rsidRDefault="00936424" w:rsidP="00936424"/>
        </w:tc>
      </w:tr>
      <w:tr w:rsidR="00936424" w:rsidTr="00936424">
        <w:trPr>
          <w:cantSplit/>
          <w:trHeight w:hRule="exact" w:val="227"/>
        </w:trPr>
        <w:tc>
          <w:tcPr>
            <w:tcW w:w="1170" w:type="dxa"/>
          </w:tcPr>
          <w:p w:rsidR="00936424" w:rsidRDefault="00936424" w:rsidP="00936424"/>
        </w:tc>
        <w:tc>
          <w:tcPr>
            <w:tcW w:w="9944" w:type="dxa"/>
            <w:gridSpan w:val="3"/>
            <w:shd w:val="clear" w:color="auto" w:fill="CCCCCC"/>
            <w:tcMar>
              <w:left w:w="284" w:type="dxa"/>
              <w:right w:w="284" w:type="dxa"/>
            </w:tcMar>
          </w:tcPr>
          <w:p w:rsidR="00936424" w:rsidRDefault="00936424" w:rsidP="00936424"/>
        </w:tc>
        <w:tc>
          <w:tcPr>
            <w:tcW w:w="1134" w:type="dxa"/>
            <w:shd w:val="clear" w:color="auto" w:fill="auto"/>
          </w:tcPr>
          <w:p w:rsidR="00936424" w:rsidRPr="00EA5372" w:rsidRDefault="00936424" w:rsidP="00936424"/>
        </w:tc>
      </w:tr>
      <w:tr w:rsidR="00936424" w:rsidTr="00936424">
        <w:trPr>
          <w:cantSplit/>
          <w:trHeight w:hRule="exact" w:val="62"/>
        </w:trPr>
        <w:tc>
          <w:tcPr>
            <w:tcW w:w="1170" w:type="dxa"/>
          </w:tcPr>
          <w:p w:rsidR="00936424" w:rsidRDefault="00936424" w:rsidP="00936424"/>
        </w:tc>
        <w:tc>
          <w:tcPr>
            <w:tcW w:w="9944" w:type="dxa"/>
            <w:gridSpan w:val="3"/>
            <w:shd w:val="clear" w:color="auto" w:fill="auto"/>
            <w:tcMar>
              <w:left w:w="284" w:type="dxa"/>
              <w:right w:w="284" w:type="dxa"/>
            </w:tcMar>
          </w:tcPr>
          <w:p w:rsidR="00936424" w:rsidRDefault="00936424" w:rsidP="00936424"/>
        </w:tc>
        <w:tc>
          <w:tcPr>
            <w:tcW w:w="1134" w:type="dxa"/>
            <w:shd w:val="clear" w:color="auto" w:fill="auto"/>
          </w:tcPr>
          <w:p w:rsidR="00936424" w:rsidRPr="00EA5372" w:rsidRDefault="00936424" w:rsidP="00936424"/>
        </w:tc>
      </w:tr>
      <w:tr w:rsidR="00936424" w:rsidTr="00936424">
        <w:trPr>
          <w:cantSplit/>
          <w:trHeight w:val="794"/>
        </w:trPr>
        <w:tc>
          <w:tcPr>
            <w:tcW w:w="1170" w:type="dxa"/>
          </w:tcPr>
          <w:p w:rsidR="00936424" w:rsidRDefault="00936424" w:rsidP="00936424"/>
        </w:tc>
        <w:tc>
          <w:tcPr>
            <w:tcW w:w="9944" w:type="dxa"/>
            <w:gridSpan w:val="3"/>
            <w:shd w:val="clear" w:color="auto" w:fill="CCCCCC"/>
            <w:tcMar>
              <w:left w:w="284" w:type="dxa"/>
              <w:right w:w="284" w:type="dxa"/>
            </w:tcMar>
            <w:vAlign w:val="center"/>
          </w:tcPr>
          <w:p w:rsidR="00936424" w:rsidRPr="00EA5372" w:rsidRDefault="005050AC" w:rsidP="00936424">
            <w:pPr>
              <w:pStyle w:val="MIMonat"/>
            </w:pPr>
            <w:r>
              <w:t>Kanzlei für Steuerberatung Zantis &amp; Meurer</w:t>
            </w:r>
          </w:p>
        </w:tc>
        <w:tc>
          <w:tcPr>
            <w:tcW w:w="1134" w:type="dxa"/>
            <w:shd w:val="clear" w:color="auto" w:fill="auto"/>
          </w:tcPr>
          <w:p w:rsidR="00936424" w:rsidRPr="00EA5372" w:rsidRDefault="00936424" w:rsidP="00936424"/>
        </w:tc>
      </w:tr>
      <w:tr w:rsidR="00936424" w:rsidTr="00936424">
        <w:trPr>
          <w:cantSplit/>
        </w:trPr>
        <w:tc>
          <w:tcPr>
            <w:tcW w:w="1170" w:type="dxa"/>
          </w:tcPr>
          <w:p w:rsidR="00936424" w:rsidRDefault="00936424" w:rsidP="00936424"/>
        </w:tc>
        <w:tc>
          <w:tcPr>
            <w:tcW w:w="9944" w:type="dxa"/>
            <w:gridSpan w:val="3"/>
            <w:shd w:val="clear" w:color="auto" w:fill="auto"/>
            <w:tcMar>
              <w:left w:w="284" w:type="dxa"/>
              <w:right w:w="284" w:type="dxa"/>
            </w:tcMar>
          </w:tcPr>
          <w:p w:rsidR="00936424" w:rsidRDefault="00936424" w:rsidP="00936424">
            <w:pPr>
              <w:pStyle w:val="TabelleText"/>
            </w:pPr>
          </w:p>
        </w:tc>
        <w:tc>
          <w:tcPr>
            <w:tcW w:w="1134" w:type="dxa"/>
            <w:shd w:val="clear" w:color="auto" w:fill="auto"/>
          </w:tcPr>
          <w:p w:rsidR="00936424" w:rsidRPr="00EA5372" w:rsidRDefault="00936424" w:rsidP="00936424"/>
        </w:tc>
      </w:tr>
    </w:tbl>
    <w:p w:rsidR="00936424" w:rsidRPr="00897218" w:rsidRDefault="00936424" w:rsidP="00936424">
      <w:pPr>
        <w:pStyle w:val="Anrede"/>
        <w:spacing w:before="60" w:after="0"/>
        <w:jc w:val="left"/>
        <w:rPr>
          <w:spacing w:val="-4"/>
        </w:rPr>
      </w:pPr>
      <w:r w:rsidRPr="00897218">
        <w:rPr>
          <w:spacing w:val="-4"/>
        </w:rPr>
        <w:lastRenderedPageBreak/>
        <w:t xml:space="preserve">Sehr geehrte Mandantin, </w:t>
      </w:r>
      <w:r w:rsidRPr="00897218">
        <w:rPr>
          <w:spacing w:val="-4"/>
        </w:rPr>
        <w:br/>
        <w:t>sehr geehrter Mandant,</w:t>
      </w:r>
      <w:r>
        <w:rPr>
          <w:spacing w:val="-4"/>
        </w:rPr>
        <w:t> </w:t>
      </w:r>
    </w:p>
    <w:p w:rsidR="00936424" w:rsidRPr="003E3451" w:rsidRDefault="00936424" w:rsidP="00936424">
      <w:pPr>
        <w:pStyle w:val="Anrede"/>
        <w:spacing w:before="80" w:after="192"/>
        <w:jc w:val="left"/>
        <w:rPr>
          <w:spacing w:val="-4"/>
        </w:rPr>
      </w:pPr>
      <w:r w:rsidRPr="003E3451">
        <w:rPr>
          <w:spacing w:val="-4"/>
        </w:rPr>
        <w:t xml:space="preserve">nachfolgend haben wir in dieser Ausgabe wieder aktuelle Urteile und Neuerungen aus dem Steuer- und </w:t>
      </w:r>
      <w:r>
        <w:rPr>
          <w:spacing w:val="-4"/>
        </w:rPr>
        <w:t>Wirtschafts</w:t>
      </w:r>
      <w:r w:rsidRPr="003E3451">
        <w:rPr>
          <w:spacing w:val="-4"/>
        </w:rPr>
        <w:t>recht für Sie zusammengestellt</w:t>
      </w:r>
      <w:r>
        <w:rPr>
          <w:spacing w:val="-4"/>
        </w:rPr>
        <w:t>.</w:t>
      </w:r>
    </w:p>
    <w:p w:rsidR="00936424" w:rsidRPr="00EA414C" w:rsidRDefault="00936424" w:rsidP="00936424"/>
    <w:p w:rsidR="00936424" w:rsidRDefault="00936424" w:rsidP="00936424">
      <w:pPr>
        <w:pStyle w:val="Unterrubrik"/>
        <w:spacing w:after="70"/>
        <w:sectPr w:rsidR="00936424" w:rsidSect="0008496E">
          <w:headerReference w:type="even" r:id="rId9"/>
          <w:headerReference w:type="default" r:id="rId10"/>
          <w:footerReference w:type="even" r:id="rId11"/>
          <w:footerReference w:type="default" r:id="rId12"/>
          <w:headerReference w:type="first" r:id="rId13"/>
          <w:footerReference w:type="first" r:id="rId14"/>
          <w:pgSz w:w="11907" w:h="16840" w:code="9"/>
          <w:pgMar w:top="1418" w:right="1021" w:bottom="1418" w:left="1021" w:header="567" w:footer="737" w:gutter="0"/>
          <w:cols w:space="720"/>
          <w:titlePg/>
        </w:sectPr>
      </w:pPr>
    </w:p>
    <w:tbl>
      <w:tblPr>
        <w:tblW w:w="4763" w:type="dxa"/>
        <w:tblLayout w:type="fixed"/>
        <w:tblCellMar>
          <w:left w:w="0" w:type="dxa"/>
          <w:right w:w="0" w:type="dxa"/>
        </w:tblCellMar>
        <w:tblLook w:val="01E0"/>
      </w:tblPr>
      <w:tblGrid>
        <w:gridCol w:w="397"/>
        <w:gridCol w:w="4366"/>
      </w:tblGrid>
      <w:tr w:rsidR="00936424" w:rsidRPr="00876769" w:rsidTr="0008496E">
        <w:trPr>
          <w:trHeight w:hRule="exact" w:val="397"/>
        </w:trPr>
        <w:tc>
          <w:tcPr>
            <w:tcW w:w="397" w:type="dxa"/>
            <w:shd w:val="clear" w:color="auto" w:fill="000000"/>
            <w:vAlign w:val="center"/>
          </w:tcPr>
          <w:p w:rsidR="00936424" w:rsidRPr="00876769" w:rsidRDefault="00936424" w:rsidP="0008496E">
            <w:pPr>
              <w:pStyle w:val="Rubrik"/>
              <w:rPr>
                <w:rStyle w:val="Textfett"/>
              </w:rPr>
            </w:pPr>
          </w:p>
        </w:tc>
        <w:tc>
          <w:tcPr>
            <w:tcW w:w="4366" w:type="dxa"/>
            <w:shd w:val="clear" w:color="auto" w:fill="CCCCCC"/>
            <w:vAlign w:val="center"/>
          </w:tcPr>
          <w:p w:rsidR="00936424" w:rsidRPr="0033385E" w:rsidRDefault="00936424" w:rsidP="0008496E">
            <w:pPr>
              <w:pStyle w:val="Rubrik"/>
              <w:rPr>
                <w:rStyle w:val="Textfett"/>
              </w:rPr>
            </w:pPr>
            <w:r>
              <w:rPr>
                <w:rStyle w:val="Textfett"/>
              </w:rPr>
              <w:t>steuerrecht</w:t>
            </w:r>
          </w:p>
        </w:tc>
      </w:tr>
    </w:tbl>
    <w:p w:rsidR="00936424" w:rsidRPr="00E22374" w:rsidRDefault="00936424" w:rsidP="00936424">
      <w:pPr>
        <w:spacing w:after="0"/>
      </w:pP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63"/>
      </w:tblGrid>
      <w:tr w:rsidR="00936424" w:rsidTr="0008496E">
        <w:tc>
          <w:tcPr>
            <w:tcW w:w="4763" w:type="dxa"/>
            <w:tcBorders>
              <w:left w:val="nil"/>
              <w:bottom w:val="single" w:sz="4" w:space="0" w:color="auto"/>
              <w:right w:val="nil"/>
            </w:tcBorders>
            <w:vAlign w:val="center"/>
          </w:tcPr>
          <w:p w:rsidR="00936424" w:rsidRDefault="00936424" w:rsidP="0008496E">
            <w:pPr>
              <w:pStyle w:val="Unterrubrik"/>
            </w:pPr>
            <w:r>
              <w:t>Arbeitgeber/Arbeitnehmer</w:t>
            </w:r>
          </w:p>
        </w:tc>
      </w:tr>
    </w:tbl>
    <w:p w:rsidR="00936424" w:rsidRDefault="00936424" w:rsidP="00936424">
      <w:pPr>
        <w:spacing w:before="120" w:after="0"/>
        <w:rPr>
          <w:sz w:val="16"/>
          <w:szCs w:val="16"/>
        </w:rPr>
      </w:pPr>
    </w:p>
    <w:p w:rsidR="00936424" w:rsidRDefault="00936424" w:rsidP="00936424">
      <w:pPr>
        <w:spacing w:before="120" w:after="0"/>
        <w:rPr>
          <w:sz w:val="16"/>
          <w:szCs w:val="16"/>
        </w:rPr>
      </w:pPr>
    </w:p>
    <w:p w:rsidR="00936424" w:rsidRPr="00936424" w:rsidRDefault="00936424" w:rsidP="00936424">
      <w:pPr>
        <w:spacing w:before="120" w:after="0"/>
        <w:rPr>
          <w:b/>
          <w:sz w:val="16"/>
          <w:szCs w:val="16"/>
        </w:rPr>
      </w:pPr>
      <w:r w:rsidRPr="00936424">
        <w:rPr>
          <w:b/>
          <w:sz w:val="16"/>
          <w:szCs w:val="16"/>
        </w:rPr>
        <w:t>1 Neues Reisekostenrecht</w:t>
      </w:r>
    </w:p>
    <w:p w:rsidR="00936424" w:rsidRPr="00936424" w:rsidRDefault="00936424" w:rsidP="00936424">
      <w:pPr>
        <w:spacing w:before="120" w:after="0"/>
        <w:rPr>
          <w:sz w:val="16"/>
          <w:szCs w:val="16"/>
        </w:rPr>
      </w:pPr>
      <w:r w:rsidRPr="00936424">
        <w:rPr>
          <w:sz w:val="16"/>
          <w:szCs w:val="16"/>
        </w:rPr>
        <w:t>Das Reiskostenrecht wird mit Wirkung ab dem 01.01.14 grundlegend refo</w:t>
      </w:r>
      <w:r w:rsidR="00A842F5">
        <w:rPr>
          <w:sz w:val="16"/>
          <w:szCs w:val="16"/>
        </w:rPr>
        <w:t>r</w:t>
      </w:r>
      <w:r w:rsidRPr="00936424">
        <w:rPr>
          <w:sz w:val="16"/>
          <w:szCs w:val="16"/>
        </w:rPr>
        <w:t>miert. Zu den wesentlichen Änderung</w:t>
      </w:r>
      <w:r w:rsidR="00A842F5">
        <w:rPr>
          <w:sz w:val="16"/>
          <w:szCs w:val="16"/>
        </w:rPr>
        <w:t xml:space="preserve">en gehören im </w:t>
      </w:r>
      <w:proofErr w:type="gramStart"/>
      <w:r w:rsidR="00A842F5">
        <w:rPr>
          <w:sz w:val="16"/>
          <w:szCs w:val="16"/>
        </w:rPr>
        <w:t>wesentlichen</w:t>
      </w:r>
      <w:proofErr w:type="gramEnd"/>
      <w:r w:rsidR="00A842F5">
        <w:rPr>
          <w:sz w:val="16"/>
          <w:szCs w:val="16"/>
        </w:rPr>
        <w:t xml:space="preserve"> die E</w:t>
      </w:r>
      <w:r w:rsidRPr="00936424">
        <w:rPr>
          <w:sz w:val="16"/>
          <w:szCs w:val="16"/>
        </w:rPr>
        <w:t>inführung einer ersten Tätigkeitsstätte und die Erhöhung der Verpflegungspauschalen.</w:t>
      </w:r>
    </w:p>
    <w:p w:rsidR="00936424" w:rsidRDefault="00936424" w:rsidP="00936424">
      <w:pPr>
        <w:pStyle w:val="berschrift1"/>
        <w:spacing w:before="0"/>
        <w:rPr>
          <w:b w:val="0"/>
          <w:sz w:val="18"/>
        </w:rPr>
      </w:pPr>
    </w:p>
    <w:p w:rsidR="00936424" w:rsidRPr="00936424" w:rsidRDefault="00A842F5" w:rsidP="00936424">
      <w:pPr>
        <w:pStyle w:val="berschrift1"/>
        <w:spacing w:before="0"/>
        <w:rPr>
          <w:sz w:val="16"/>
          <w:szCs w:val="16"/>
        </w:rPr>
      </w:pPr>
      <w:r>
        <w:rPr>
          <w:sz w:val="16"/>
          <w:szCs w:val="16"/>
        </w:rPr>
        <w:t>E</w:t>
      </w:r>
      <w:r w:rsidR="00936424" w:rsidRPr="00936424">
        <w:rPr>
          <w:sz w:val="16"/>
          <w:szCs w:val="16"/>
        </w:rPr>
        <w:t>rste Tätigkeitsstätte</w:t>
      </w:r>
    </w:p>
    <w:p w:rsidR="00936424" w:rsidRPr="00936424" w:rsidRDefault="00936424" w:rsidP="00936424"/>
    <w:p w:rsidR="00936424" w:rsidRDefault="00936424" w:rsidP="00936424">
      <w:pPr>
        <w:spacing w:after="140"/>
        <w:rPr>
          <w:sz w:val="16"/>
          <w:szCs w:val="16"/>
        </w:rPr>
      </w:pPr>
      <w:r w:rsidRPr="00936424">
        <w:rPr>
          <w:sz w:val="16"/>
          <w:szCs w:val="16"/>
        </w:rPr>
        <w:t>Mit dem Begriff erste Tätigkeitsstätte wird der Begriff regelmäßige Arbeitsstätte ersetzt. Erste Tätigkeitsstätte ist danach jede ortsfeste betriebliche Einrichtung eines Arbeitgebers. Ein Dienstverhältnis kann nur eine erste Tätigkeitsstätte haben. Die Fahrtkosten zur ersten Tätigkeitsstätte können in Form der E</w:t>
      </w:r>
      <w:r w:rsidR="00724FD9">
        <w:rPr>
          <w:sz w:val="16"/>
          <w:szCs w:val="16"/>
        </w:rPr>
        <w:t>ntfernungspauschale mit 0,30 €</w:t>
      </w:r>
      <w:r w:rsidRPr="00936424">
        <w:rPr>
          <w:sz w:val="16"/>
          <w:szCs w:val="16"/>
        </w:rPr>
        <w:t xml:space="preserve"> geltend gemacht werden.</w:t>
      </w:r>
    </w:p>
    <w:p w:rsidR="00936424" w:rsidRPr="00936424" w:rsidRDefault="00936424" w:rsidP="00936424">
      <w:pPr>
        <w:spacing w:after="140"/>
        <w:rPr>
          <w:sz w:val="16"/>
          <w:szCs w:val="16"/>
        </w:rPr>
      </w:pPr>
    </w:p>
    <w:p w:rsidR="00936424" w:rsidRPr="00936424" w:rsidRDefault="00936424" w:rsidP="00936424">
      <w:pPr>
        <w:pStyle w:val="berschrift2"/>
        <w:spacing w:before="60"/>
        <w:rPr>
          <w:sz w:val="16"/>
          <w:szCs w:val="16"/>
        </w:rPr>
      </w:pPr>
      <w:r w:rsidRPr="00936424">
        <w:rPr>
          <w:sz w:val="16"/>
          <w:szCs w:val="16"/>
        </w:rPr>
        <w:t xml:space="preserve"> Verpflegungsmehraufwendungen</w:t>
      </w:r>
    </w:p>
    <w:p w:rsidR="00936424" w:rsidRDefault="00936424" w:rsidP="00936424"/>
    <w:p w:rsidR="00936424" w:rsidRPr="00936424" w:rsidRDefault="00936424" w:rsidP="00936424">
      <w:pPr>
        <w:rPr>
          <w:sz w:val="16"/>
          <w:szCs w:val="16"/>
        </w:rPr>
      </w:pPr>
      <w:r w:rsidRPr="00936424">
        <w:rPr>
          <w:sz w:val="16"/>
          <w:szCs w:val="16"/>
        </w:rPr>
        <w:t>Zukünftig können die in der Tabelle dargestellten Verpflegungspauschalen steuerfrei ersetzt</w:t>
      </w:r>
      <w:r w:rsidR="00A842F5">
        <w:rPr>
          <w:sz w:val="16"/>
          <w:szCs w:val="16"/>
        </w:rPr>
        <w:t xml:space="preserve"> </w:t>
      </w:r>
      <w:proofErr w:type="gramStart"/>
      <w:r w:rsidR="00A842F5">
        <w:rPr>
          <w:sz w:val="16"/>
          <w:szCs w:val="16"/>
        </w:rPr>
        <w:t>werden</w:t>
      </w:r>
      <w:r w:rsidRPr="00936424">
        <w:rPr>
          <w:sz w:val="16"/>
          <w:szCs w:val="16"/>
        </w:rPr>
        <w:t xml:space="preserve"> :</w:t>
      </w:r>
      <w:proofErr w:type="gramEnd"/>
    </w:p>
    <w:p w:rsidR="00936424" w:rsidRPr="00936424" w:rsidRDefault="00936424" w:rsidP="0093642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250"/>
      </w:tblGrid>
      <w:tr w:rsidR="00936424" w:rsidRPr="00936424" w:rsidTr="0008496E">
        <w:tc>
          <w:tcPr>
            <w:tcW w:w="3544" w:type="dxa"/>
          </w:tcPr>
          <w:p w:rsidR="00936424" w:rsidRPr="00936424" w:rsidRDefault="00936424" w:rsidP="0008496E">
            <w:pPr>
              <w:pStyle w:val="TabelleText"/>
              <w:rPr>
                <w:sz w:val="16"/>
                <w:szCs w:val="16"/>
              </w:rPr>
            </w:pPr>
            <w:r w:rsidRPr="00936424">
              <w:rPr>
                <w:sz w:val="16"/>
                <w:szCs w:val="16"/>
              </w:rPr>
              <w:t>24 Stunden (bei mehrtägiger Reise)</w:t>
            </w:r>
          </w:p>
        </w:tc>
        <w:tc>
          <w:tcPr>
            <w:tcW w:w="1250" w:type="dxa"/>
          </w:tcPr>
          <w:p w:rsidR="00936424" w:rsidRPr="00936424" w:rsidRDefault="00936424" w:rsidP="0008496E">
            <w:pPr>
              <w:pStyle w:val="TabelleText"/>
              <w:rPr>
                <w:sz w:val="16"/>
                <w:szCs w:val="16"/>
              </w:rPr>
            </w:pPr>
            <w:r w:rsidRPr="00936424">
              <w:rPr>
                <w:sz w:val="16"/>
                <w:szCs w:val="16"/>
              </w:rPr>
              <w:t>24 €</w:t>
            </w:r>
          </w:p>
        </w:tc>
      </w:tr>
      <w:tr w:rsidR="00936424" w:rsidRPr="00936424" w:rsidTr="0008496E">
        <w:tc>
          <w:tcPr>
            <w:tcW w:w="3544" w:type="dxa"/>
          </w:tcPr>
          <w:p w:rsidR="00936424" w:rsidRPr="00936424" w:rsidRDefault="00936424" w:rsidP="0008496E">
            <w:pPr>
              <w:pStyle w:val="TabelleText"/>
              <w:rPr>
                <w:sz w:val="16"/>
                <w:szCs w:val="16"/>
              </w:rPr>
            </w:pPr>
            <w:r w:rsidRPr="00936424">
              <w:rPr>
                <w:sz w:val="16"/>
                <w:szCs w:val="16"/>
              </w:rPr>
              <w:t>8 bis unter 24 Stunden</w:t>
            </w:r>
          </w:p>
        </w:tc>
        <w:tc>
          <w:tcPr>
            <w:tcW w:w="1250" w:type="dxa"/>
          </w:tcPr>
          <w:p w:rsidR="00936424" w:rsidRPr="00936424" w:rsidRDefault="00936424" w:rsidP="0008496E">
            <w:pPr>
              <w:pStyle w:val="TabelleText"/>
              <w:rPr>
                <w:sz w:val="16"/>
                <w:szCs w:val="16"/>
              </w:rPr>
            </w:pPr>
            <w:r w:rsidRPr="00936424">
              <w:rPr>
                <w:sz w:val="16"/>
                <w:szCs w:val="16"/>
              </w:rPr>
              <w:t>12 €</w:t>
            </w:r>
          </w:p>
        </w:tc>
      </w:tr>
      <w:tr w:rsidR="00936424" w:rsidRPr="00936424" w:rsidTr="0008496E">
        <w:tc>
          <w:tcPr>
            <w:tcW w:w="3544" w:type="dxa"/>
          </w:tcPr>
          <w:p w:rsidR="00936424" w:rsidRPr="00936424" w:rsidRDefault="00936424" w:rsidP="0008496E">
            <w:pPr>
              <w:pStyle w:val="TabelleText"/>
              <w:rPr>
                <w:sz w:val="16"/>
                <w:szCs w:val="16"/>
              </w:rPr>
            </w:pPr>
            <w:r w:rsidRPr="00936424">
              <w:rPr>
                <w:sz w:val="16"/>
                <w:szCs w:val="16"/>
              </w:rPr>
              <w:t>unter 8 Stunden</w:t>
            </w:r>
          </w:p>
        </w:tc>
        <w:tc>
          <w:tcPr>
            <w:tcW w:w="1250" w:type="dxa"/>
          </w:tcPr>
          <w:p w:rsidR="00936424" w:rsidRPr="00936424" w:rsidRDefault="00936424" w:rsidP="0008496E">
            <w:pPr>
              <w:pStyle w:val="TabelleText"/>
              <w:rPr>
                <w:sz w:val="16"/>
                <w:szCs w:val="16"/>
              </w:rPr>
            </w:pPr>
            <w:r w:rsidRPr="00936424">
              <w:rPr>
                <w:sz w:val="16"/>
                <w:szCs w:val="16"/>
              </w:rPr>
              <w:t>–</w:t>
            </w:r>
          </w:p>
        </w:tc>
      </w:tr>
      <w:tr w:rsidR="00936424" w:rsidRPr="00936424" w:rsidTr="0008496E">
        <w:tc>
          <w:tcPr>
            <w:tcW w:w="3544" w:type="dxa"/>
          </w:tcPr>
          <w:p w:rsidR="00936424" w:rsidRPr="00936424" w:rsidRDefault="00936424" w:rsidP="0008496E">
            <w:pPr>
              <w:pStyle w:val="TabelleText"/>
              <w:rPr>
                <w:sz w:val="16"/>
                <w:szCs w:val="16"/>
              </w:rPr>
            </w:pPr>
            <w:r w:rsidRPr="00936424">
              <w:rPr>
                <w:sz w:val="16"/>
                <w:szCs w:val="16"/>
              </w:rPr>
              <w:lastRenderedPageBreak/>
              <w:t>Jeweils für An- und Abreisetag bei einer mehrtägigen Reise</w:t>
            </w:r>
            <w:r w:rsidRPr="00936424">
              <w:rPr>
                <w:b/>
                <w:sz w:val="16"/>
                <w:szCs w:val="16"/>
              </w:rPr>
              <w:t xml:space="preserve"> </w:t>
            </w:r>
            <w:r w:rsidRPr="00936424">
              <w:rPr>
                <w:sz w:val="16"/>
                <w:szCs w:val="16"/>
              </w:rPr>
              <w:t>unabhängig von der  Abwesenheitsdauer</w:t>
            </w:r>
          </w:p>
        </w:tc>
        <w:tc>
          <w:tcPr>
            <w:tcW w:w="1250" w:type="dxa"/>
          </w:tcPr>
          <w:p w:rsidR="00936424" w:rsidRPr="00936424" w:rsidRDefault="00936424" w:rsidP="0008496E">
            <w:pPr>
              <w:pStyle w:val="TabelleText"/>
              <w:rPr>
                <w:sz w:val="16"/>
                <w:szCs w:val="16"/>
              </w:rPr>
            </w:pPr>
            <w:r w:rsidRPr="00936424">
              <w:rPr>
                <w:sz w:val="16"/>
                <w:szCs w:val="16"/>
              </w:rPr>
              <w:t>12 €</w:t>
            </w:r>
          </w:p>
        </w:tc>
      </w:tr>
    </w:tbl>
    <w:p w:rsidR="00936424" w:rsidRDefault="00936424" w:rsidP="00936424">
      <w:pPr>
        <w:pStyle w:val="berschrift1"/>
        <w:spacing w:before="120"/>
      </w:pPr>
    </w:p>
    <w:p w:rsidR="00936424" w:rsidRPr="00936424" w:rsidRDefault="00936424" w:rsidP="00936424">
      <w:pPr>
        <w:pStyle w:val="berschrift1"/>
        <w:spacing w:before="120"/>
        <w:rPr>
          <w:sz w:val="16"/>
          <w:szCs w:val="16"/>
        </w:rPr>
      </w:pPr>
      <w:r>
        <w:rPr>
          <w:sz w:val="16"/>
          <w:szCs w:val="16"/>
        </w:rPr>
        <w:t xml:space="preserve">2 </w:t>
      </w:r>
      <w:r w:rsidRPr="00936424">
        <w:rPr>
          <w:sz w:val="16"/>
          <w:szCs w:val="16"/>
        </w:rPr>
        <w:t xml:space="preserve"> Lohnsteuerabzugsverfahren</w:t>
      </w:r>
    </w:p>
    <w:p w:rsidR="00936424" w:rsidRDefault="00936424" w:rsidP="00936424"/>
    <w:p w:rsidR="00936424" w:rsidRDefault="00936424" w:rsidP="00936424">
      <w:pPr>
        <w:rPr>
          <w:sz w:val="16"/>
          <w:szCs w:val="16"/>
        </w:rPr>
      </w:pPr>
      <w:r w:rsidRPr="00936424">
        <w:rPr>
          <w:sz w:val="16"/>
          <w:szCs w:val="16"/>
        </w:rPr>
        <w:t>Der Arbeitnehmer kann beantragen, dass der im Lohnsteuerabzugsverfahren zu berücksichtigende Freibetrag für zwei Kalenderjahre gilt, statt derzeit nur für ein Jahr.</w:t>
      </w:r>
    </w:p>
    <w:p w:rsidR="00936424" w:rsidRDefault="00936424" w:rsidP="00936424">
      <w:pPr>
        <w:rPr>
          <w:sz w:val="16"/>
          <w:szCs w:val="16"/>
        </w:rPr>
      </w:pPr>
    </w:p>
    <w:p w:rsidR="00936424" w:rsidRPr="00936424" w:rsidRDefault="00936424" w:rsidP="00936424">
      <w:pPr>
        <w:rPr>
          <w:b/>
          <w:sz w:val="16"/>
          <w:szCs w:val="16"/>
        </w:rPr>
      </w:pPr>
      <w:r>
        <w:rPr>
          <w:b/>
          <w:sz w:val="16"/>
          <w:szCs w:val="16"/>
        </w:rPr>
        <w:t>3</w:t>
      </w:r>
      <w:r w:rsidR="00A842F5">
        <w:rPr>
          <w:b/>
          <w:sz w:val="16"/>
          <w:szCs w:val="16"/>
        </w:rPr>
        <w:t xml:space="preserve"> </w:t>
      </w:r>
      <w:proofErr w:type="gramStart"/>
      <w:r w:rsidR="00A842F5">
        <w:rPr>
          <w:b/>
          <w:sz w:val="16"/>
          <w:szCs w:val="16"/>
        </w:rPr>
        <w:t>D</w:t>
      </w:r>
      <w:r w:rsidRPr="00936424">
        <w:rPr>
          <w:b/>
          <w:sz w:val="16"/>
          <w:szCs w:val="16"/>
        </w:rPr>
        <w:t>oppelte Haushaltsführung</w:t>
      </w:r>
      <w:proofErr w:type="gramEnd"/>
    </w:p>
    <w:p w:rsidR="00936424" w:rsidRDefault="00936424" w:rsidP="00936424"/>
    <w:p w:rsidR="00936424" w:rsidRPr="00936424" w:rsidRDefault="00936424" w:rsidP="00936424">
      <w:pPr>
        <w:rPr>
          <w:sz w:val="16"/>
          <w:szCs w:val="16"/>
        </w:rPr>
      </w:pPr>
      <w:r w:rsidRPr="00936424">
        <w:rPr>
          <w:sz w:val="16"/>
          <w:szCs w:val="16"/>
        </w:rPr>
        <w:t>Die Kosten einer doppelten Haushaltsführung sind ab d</w:t>
      </w:r>
      <w:r w:rsidR="00724FD9">
        <w:rPr>
          <w:sz w:val="16"/>
          <w:szCs w:val="16"/>
        </w:rPr>
        <w:t>em 01.01.2014 auf mtl. 1.000 €</w:t>
      </w:r>
      <w:r w:rsidRPr="00936424">
        <w:rPr>
          <w:sz w:val="16"/>
          <w:szCs w:val="16"/>
        </w:rPr>
        <w:t xml:space="preserve"> beschränkt. Dieser Betrag umfasst alle für die Wohnung anfallenden Kosten.</w:t>
      </w:r>
    </w:p>
    <w:p w:rsidR="00936424" w:rsidRPr="00936424" w:rsidRDefault="00936424" w:rsidP="00936424">
      <w:pPr>
        <w:pStyle w:val="berschrift1"/>
        <w:rPr>
          <w:sz w:val="16"/>
          <w:szCs w:val="16"/>
        </w:rPr>
      </w:pPr>
      <w:r>
        <w:rPr>
          <w:sz w:val="16"/>
          <w:szCs w:val="16"/>
        </w:rPr>
        <w:t xml:space="preserve">4 </w:t>
      </w:r>
      <w:proofErr w:type="spellStart"/>
      <w:r w:rsidRPr="00936424">
        <w:rPr>
          <w:sz w:val="16"/>
          <w:szCs w:val="16"/>
        </w:rPr>
        <w:t>Gelangensbestätigung</w:t>
      </w:r>
      <w:proofErr w:type="spellEnd"/>
      <w:r w:rsidRPr="00936424">
        <w:rPr>
          <w:sz w:val="16"/>
          <w:szCs w:val="16"/>
        </w:rPr>
        <w:t>: Übergangsfrist verlängert</w:t>
      </w:r>
    </w:p>
    <w:p w:rsidR="00936424" w:rsidRPr="00936424" w:rsidRDefault="00936424" w:rsidP="00936424">
      <w:pPr>
        <w:rPr>
          <w:sz w:val="16"/>
          <w:szCs w:val="16"/>
        </w:rPr>
      </w:pPr>
      <w:r w:rsidRPr="00936424">
        <w:rPr>
          <w:sz w:val="16"/>
          <w:szCs w:val="16"/>
        </w:rPr>
        <w:t>Das Bundesfinanzministerium hat die Übergangsfrist für die Anwendung der neuen Beleg- und Buchnachweispflichten für innergemeinschaftliche Lieferungen bis zum 31. 12. 2013 verlängert. Bis dahin können die Nachweise für innergemeinschaftliche Lieferungen noch nach der alten (bis zum 31. 12. 2011 geltenden) Rechtslage geführt werden. Somit ist das neue Recht erstmals zwingend auf Umsätze anzuwenden, die ab dem 01.</w:t>
      </w:r>
      <w:r w:rsidR="00A842F5">
        <w:rPr>
          <w:sz w:val="16"/>
          <w:szCs w:val="16"/>
        </w:rPr>
        <w:t>0</w:t>
      </w:r>
      <w:r w:rsidRPr="00936424">
        <w:rPr>
          <w:sz w:val="16"/>
          <w:szCs w:val="16"/>
        </w:rPr>
        <w:t>1.2014 ausgeführt werden (Einzelheiten hierzu vgl. auch Ausgabe 4/2013 dieser Mandanten-Information).</w:t>
      </w:r>
    </w:p>
    <w:tbl>
      <w:tblPr>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763"/>
      </w:tblGrid>
      <w:tr w:rsidR="00936424" w:rsidRPr="00936424" w:rsidTr="0008496E">
        <w:tc>
          <w:tcPr>
            <w:tcW w:w="4763" w:type="dxa"/>
            <w:tcBorders>
              <w:left w:val="nil"/>
              <w:bottom w:val="single" w:sz="4" w:space="0" w:color="auto"/>
              <w:right w:val="nil"/>
            </w:tcBorders>
            <w:vAlign w:val="center"/>
          </w:tcPr>
          <w:p w:rsidR="00936424" w:rsidRPr="00936424" w:rsidRDefault="00936424" w:rsidP="0008496E">
            <w:pPr>
              <w:pStyle w:val="Unterrubrik"/>
              <w:rPr>
                <w:sz w:val="16"/>
                <w:szCs w:val="16"/>
              </w:rPr>
            </w:pPr>
            <w:r w:rsidRPr="00936424">
              <w:rPr>
                <w:sz w:val="16"/>
                <w:szCs w:val="16"/>
              </w:rPr>
              <w:t>Vermieter</w:t>
            </w:r>
          </w:p>
        </w:tc>
      </w:tr>
    </w:tbl>
    <w:p w:rsidR="00936424" w:rsidRPr="00936424" w:rsidRDefault="00936424" w:rsidP="00936424">
      <w:pPr>
        <w:pStyle w:val="berschrift1"/>
        <w:spacing w:before="140" w:after="0"/>
        <w:rPr>
          <w:sz w:val="16"/>
          <w:szCs w:val="16"/>
        </w:rPr>
      </w:pPr>
      <w:r>
        <w:rPr>
          <w:sz w:val="16"/>
          <w:szCs w:val="16"/>
        </w:rPr>
        <w:t xml:space="preserve">5 </w:t>
      </w:r>
      <w:r w:rsidRPr="00936424">
        <w:rPr>
          <w:sz w:val="16"/>
          <w:szCs w:val="16"/>
        </w:rPr>
        <w:t>Herstellungskosten vs. Erhaltungsaufwand</w:t>
      </w:r>
    </w:p>
    <w:p w:rsidR="00936424" w:rsidRPr="00A842F5" w:rsidRDefault="00936424" w:rsidP="00936424">
      <w:pPr>
        <w:rPr>
          <w:sz w:val="16"/>
          <w:szCs w:val="16"/>
        </w:rPr>
      </w:pPr>
      <w:r w:rsidRPr="00936424">
        <w:rPr>
          <w:sz w:val="16"/>
          <w:szCs w:val="16"/>
        </w:rPr>
        <w:t xml:space="preserve">Der Umbau eines Flachdachs zu einem Satteldach führt zu Herstellungskosten, weil die Nutzfläche des Gebäudes erweitert </w:t>
      </w:r>
      <w:r w:rsidRPr="00A842F5">
        <w:rPr>
          <w:sz w:val="16"/>
          <w:szCs w:val="16"/>
        </w:rPr>
        <w:lastRenderedPageBreak/>
        <w:t>wird. Die Kosten sind daher nur im Rahmen der jährlichen Abschreibung von 2 % absetzbar und stellen keine sofort abziehbaren Werbungskosten dar.</w:t>
      </w:r>
    </w:p>
    <w:p w:rsidR="00936424" w:rsidRPr="00A842F5" w:rsidRDefault="00936424" w:rsidP="00936424">
      <w:pPr>
        <w:rPr>
          <w:sz w:val="16"/>
          <w:szCs w:val="16"/>
        </w:rPr>
      </w:pPr>
      <w:r w:rsidRPr="00A842F5">
        <w:rPr>
          <w:rStyle w:val="Textfett"/>
          <w:sz w:val="16"/>
          <w:szCs w:val="16"/>
        </w:rPr>
        <w:t>Hintergrund</w:t>
      </w:r>
      <w:r w:rsidRPr="00A842F5">
        <w:rPr>
          <w:sz w:val="16"/>
          <w:szCs w:val="16"/>
        </w:rPr>
        <w:t xml:space="preserve">: Bei Baumaßnahmen an einem Gebäude stellt sich in der Regel die Frage, ob es sich um sofort abziehbare Erhaltungsmaßnahmen handelt oder aber um Herstellungskosten, die nur im Wege einer jährlichen Abschreibung steuerlich abgesetzt werden </w:t>
      </w:r>
      <w:proofErr w:type="gramStart"/>
      <w:r w:rsidRPr="00A842F5">
        <w:rPr>
          <w:sz w:val="16"/>
          <w:szCs w:val="16"/>
        </w:rPr>
        <w:t>können</w:t>
      </w:r>
      <w:proofErr w:type="gramEnd"/>
      <w:r w:rsidRPr="00A842F5">
        <w:rPr>
          <w:sz w:val="16"/>
          <w:szCs w:val="16"/>
        </w:rPr>
        <w:t>.</w:t>
      </w:r>
    </w:p>
    <w:p w:rsidR="00936424" w:rsidRPr="00A842F5" w:rsidRDefault="00936424" w:rsidP="00936424">
      <w:pPr>
        <w:rPr>
          <w:sz w:val="16"/>
          <w:szCs w:val="16"/>
        </w:rPr>
      </w:pPr>
      <w:r w:rsidRPr="00A842F5">
        <w:rPr>
          <w:rStyle w:val="Textfett"/>
          <w:sz w:val="16"/>
          <w:szCs w:val="16"/>
        </w:rPr>
        <w:t>Streitfall</w:t>
      </w:r>
      <w:r w:rsidRPr="00A842F5">
        <w:rPr>
          <w:sz w:val="16"/>
          <w:szCs w:val="16"/>
        </w:rPr>
        <w:t>: Der Kläger vermietete ein Einfamilienhaus, das ein undichtes Flachdach hatte. Er ersetzte das Flachdach durch ein Satteldach für rund 30.000 €. Unter dem Satteldach befand sich ein nicht ausgebautes Dachgeschoss ohne Anschlüsse für Strom, Wasser und Heizung. Es konnte nur über eine Einschubleiter von der Garage aus betreten werden; außerdem war das neue Dachgeschoss über einen 1 qm großen Mauerdurchbruch mit dem Spitzboden der Garage verbunden. Der Kläger machte die Kosten in voller Höhe als Werbungskosten geltend.</w:t>
      </w:r>
    </w:p>
    <w:p w:rsidR="00936424" w:rsidRPr="00A842F5" w:rsidRDefault="00936424" w:rsidP="00936424">
      <w:pPr>
        <w:rPr>
          <w:sz w:val="16"/>
          <w:szCs w:val="16"/>
        </w:rPr>
      </w:pPr>
      <w:r w:rsidRPr="00A842F5">
        <w:rPr>
          <w:rStyle w:val="Textfett"/>
          <w:sz w:val="16"/>
          <w:szCs w:val="16"/>
        </w:rPr>
        <w:t>Entscheidung</w:t>
      </w:r>
      <w:r w:rsidRPr="00A842F5">
        <w:rPr>
          <w:sz w:val="16"/>
          <w:szCs w:val="16"/>
        </w:rPr>
        <w:t>: Der Bundesfinanzhof (BFH) ließ dagegen nur eine jährliche Abschreibung von 2 % zu:</w:t>
      </w:r>
    </w:p>
    <w:p w:rsidR="00936424" w:rsidRPr="00A842F5" w:rsidRDefault="00936424" w:rsidP="00936424">
      <w:pPr>
        <w:pStyle w:val="Punktliste"/>
        <w:rPr>
          <w:sz w:val="16"/>
          <w:szCs w:val="16"/>
        </w:rPr>
      </w:pPr>
      <w:r w:rsidRPr="00A842F5">
        <w:rPr>
          <w:sz w:val="16"/>
          <w:szCs w:val="16"/>
        </w:rPr>
        <w:t>Herstellungskosten sind Kosten für die Erweiterung des Gebäudes. Zu einer Erweiterung führen ein Anbau/Aufstockung durch Einfügung neuer Bestandteile oder die Vergrößerung der Nutzfläche, wenn hierdurch die Nutzungsmöglichkeit erweitert wird – die tatsächliche Nutzung ist unbeachtlich.</w:t>
      </w:r>
    </w:p>
    <w:p w:rsidR="00936424" w:rsidRPr="00A842F5" w:rsidRDefault="00936424" w:rsidP="00936424">
      <w:pPr>
        <w:pStyle w:val="Punktliste"/>
        <w:rPr>
          <w:sz w:val="16"/>
          <w:szCs w:val="16"/>
        </w:rPr>
      </w:pPr>
      <w:r w:rsidRPr="00A842F5">
        <w:rPr>
          <w:sz w:val="16"/>
          <w:szCs w:val="16"/>
        </w:rPr>
        <w:t>Im Streitfall war von einer Erweiterung der Nutzfläche auszugehen. Denn das neue Dachgeschoss konnte als Speicher bzw. Abstellraum genutzt werden. Hierfür war der Zugang über den Mauerdurchbruch ausreichend. Sonstige Abstellmöglichkeiten waren in dem Haus nicht vorhanden, da es nicht unterkellert war und die Wohnfläche nur 70 qm betrug. Unbeachtlich war, dass der Kläger das neue Dach nicht nutzte – die bloße Nutzungsmöglichkeit reicht aus.</w:t>
      </w:r>
    </w:p>
    <w:p w:rsidR="00936424" w:rsidRPr="00A842F5" w:rsidRDefault="00936424" w:rsidP="00936424">
      <w:pPr>
        <w:spacing w:after="240"/>
        <w:rPr>
          <w:sz w:val="16"/>
          <w:szCs w:val="16"/>
        </w:rPr>
      </w:pPr>
      <w:r w:rsidRPr="00A842F5">
        <w:rPr>
          <w:rStyle w:val="Textfett"/>
          <w:sz w:val="16"/>
          <w:szCs w:val="16"/>
        </w:rPr>
        <w:t>Hinweis</w:t>
      </w:r>
      <w:r w:rsidRPr="00A842F5">
        <w:rPr>
          <w:sz w:val="16"/>
          <w:szCs w:val="16"/>
        </w:rPr>
        <w:t>: Die Rechtsprechung hat auch in folgenden Fällen eine Erweiterung und damit Herstellungskosten angenommen: Errichtung eines Kelleranbaus unter der vergrößerten Terrasse; Errichtung ein</w:t>
      </w:r>
      <w:r w:rsidR="00A842F5">
        <w:rPr>
          <w:sz w:val="16"/>
          <w:szCs w:val="16"/>
        </w:rPr>
        <w:t>e</w:t>
      </w:r>
      <w:r w:rsidRPr="00A842F5">
        <w:rPr>
          <w:sz w:val="16"/>
          <w:szCs w:val="16"/>
        </w:rPr>
        <w:t>s ganzjährig nutzbaren Wintergartens; Einbau einer Dachgaube; Anbau von Balkonen.</w:t>
      </w:r>
    </w:p>
    <w:tbl>
      <w:tblPr>
        <w:tblW w:w="4763" w:type="dxa"/>
        <w:tblLayout w:type="fixed"/>
        <w:tblCellMar>
          <w:left w:w="0" w:type="dxa"/>
          <w:right w:w="0" w:type="dxa"/>
        </w:tblCellMar>
        <w:tblLook w:val="01E0"/>
      </w:tblPr>
      <w:tblGrid>
        <w:gridCol w:w="397"/>
        <w:gridCol w:w="4366"/>
      </w:tblGrid>
      <w:tr w:rsidR="00936424" w:rsidRPr="00A842F5" w:rsidTr="0008496E">
        <w:trPr>
          <w:trHeight w:hRule="exact" w:val="397"/>
        </w:trPr>
        <w:tc>
          <w:tcPr>
            <w:tcW w:w="397" w:type="dxa"/>
            <w:shd w:val="clear" w:color="auto" w:fill="000000"/>
            <w:vAlign w:val="center"/>
          </w:tcPr>
          <w:p w:rsidR="00936424" w:rsidRPr="00A842F5" w:rsidRDefault="00936424" w:rsidP="0008496E">
            <w:pPr>
              <w:pStyle w:val="Anker"/>
              <w:jc w:val="left"/>
              <w:rPr>
                <w:rStyle w:val="Textfett"/>
                <w:sz w:val="16"/>
                <w:szCs w:val="16"/>
              </w:rPr>
            </w:pPr>
          </w:p>
        </w:tc>
        <w:tc>
          <w:tcPr>
            <w:tcW w:w="4366" w:type="dxa"/>
            <w:shd w:val="clear" w:color="auto" w:fill="CCCCCC"/>
            <w:vAlign w:val="center"/>
          </w:tcPr>
          <w:p w:rsidR="00936424" w:rsidRPr="00A842F5" w:rsidRDefault="00936424" w:rsidP="0008496E">
            <w:pPr>
              <w:pStyle w:val="Rubrik"/>
              <w:rPr>
                <w:rStyle w:val="Textfett"/>
                <w:sz w:val="16"/>
                <w:szCs w:val="16"/>
              </w:rPr>
            </w:pPr>
            <w:r w:rsidRPr="00A842F5">
              <w:rPr>
                <w:rStyle w:val="Textfett"/>
                <w:sz w:val="16"/>
                <w:szCs w:val="16"/>
              </w:rPr>
              <w:t>Sozialversicherung</w:t>
            </w:r>
          </w:p>
        </w:tc>
      </w:tr>
    </w:tbl>
    <w:p w:rsidR="00936424" w:rsidRPr="00A842F5" w:rsidRDefault="00936424" w:rsidP="00936424">
      <w:pPr>
        <w:pStyle w:val="berschrift1"/>
        <w:rPr>
          <w:sz w:val="16"/>
          <w:szCs w:val="16"/>
        </w:rPr>
      </w:pPr>
      <w:r w:rsidRPr="00A842F5">
        <w:rPr>
          <w:sz w:val="16"/>
          <w:szCs w:val="16"/>
        </w:rPr>
        <w:t>6 Rechengrößen für 2014</w:t>
      </w:r>
    </w:p>
    <w:p w:rsidR="00936424" w:rsidRPr="00A842F5" w:rsidRDefault="00936424" w:rsidP="00936424">
      <w:pPr>
        <w:rPr>
          <w:sz w:val="16"/>
          <w:szCs w:val="16"/>
        </w:rPr>
      </w:pPr>
      <w:r w:rsidRPr="00A842F5">
        <w:rPr>
          <w:sz w:val="16"/>
          <w:szCs w:val="16"/>
        </w:rPr>
        <w:t>Das Bundesarbeitsministerium hat den Referentenentwurf der Sozialversicherungs-Rechengrößenverordnung 2014 bekannt gegeben. Hiernach sollen die Werte d</w:t>
      </w:r>
      <w:r w:rsidR="00724FD9">
        <w:rPr>
          <w:sz w:val="16"/>
          <w:szCs w:val="16"/>
        </w:rPr>
        <w:t>er Sozialversicherung ab dem 01.01.</w:t>
      </w:r>
      <w:r w:rsidRPr="00A842F5">
        <w:rPr>
          <w:sz w:val="16"/>
          <w:szCs w:val="16"/>
        </w:rPr>
        <w:t>2014 steigen.</w:t>
      </w:r>
    </w:p>
    <w:p w:rsidR="00936424" w:rsidRPr="00A842F5" w:rsidRDefault="00936424" w:rsidP="00936424">
      <w:pPr>
        <w:spacing w:after="160"/>
        <w:rPr>
          <w:sz w:val="16"/>
          <w:szCs w:val="16"/>
        </w:rPr>
      </w:pPr>
      <w:r w:rsidRPr="00A842F5">
        <w:rPr>
          <w:sz w:val="16"/>
          <w:szCs w:val="16"/>
        </w:rPr>
        <w:t>Die Bezugsgröße, die für viele Werte in der Sozialversicherung Bedeutung hat (z. B. für die Festsetzung der Mindestbeitragsbemessungsgrundlagen für freiwillige Mitglieder in der gesetzlichen Krankenversicherung und für die Beitragsberechnung von versicherungspflichtigen Selbständigen in der gesetzlichen Rentenversicherung), erhöht sich auf 2.765 €/Monat (2013: 2.695 €/Monat). Die Bezugsgröße (Ost) steigt auf 2.345 €/Monat (2013: 2.275 €/Monat).</w:t>
      </w:r>
    </w:p>
    <w:tbl>
      <w:tblPr>
        <w:tblW w:w="479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25"/>
        <w:gridCol w:w="2268"/>
      </w:tblGrid>
      <w:tr w:rsidR="00936424" w:rsidRPr="00A842F5" w:rsidTr="0008496E">
        <w:trPr>
          <w:tblCellSpacing w:w="0" w:type="dxa"/>
        </w:trPr>
        <w:tc>
          <w:tcPr>
            <w:tcW w:w="4793" w:type="dxa"/>
            <w:gridSpan w:val="2"/>
            <w:tcBorders>
              <w:top w:val="outset" w:sz="6" w:space="0" w:color="auto"/>
              <w:left w:val="outset" w:sz="6" w:space="0" w:color="auto"/>
              <w:bottom w:val="single" w:sz="4" w:space="0" w:color="000000"/>
              <w:right w:val="outset" w:sz="6" w:space="0" w:color="auto"/>
            </w:tcBorders>
            <w:shd w:val="clear" w:color="auto" w:fill="E0E0E0"/>
          </w:tcPr>
          <w:p w:rsidR="00936424" w:rsidRPr="00A842F5" w:rsidRDefault="00936424" w:rsidP="0008496E">
            <w:pPr>
              <w:pStyle w:val="TabelleText"/>
              <w:rPr>
                <w:rStyle w:val="Textfett"/>
                <w:sz w:val="16"/>
                <w:szCs w:val="16"/>
              </w:rPr>
            </w:pPr>
            <w:r w:rsidRPr="00A842F5">
              <w:rPr>
                <w:rStyle w:val="Textfett"/>
                <w:sz w:val="16"/>
                <w:szCs w:val="16"/>
              </w:rPr>
              <w:t>Beitragsbemessungsgrenze West</w:t>
            </w:r>
          </w:p>
        </w:tc>
      </w:tr>
      <w:tr w:rsidR="00936424" w:rsidRPr="00A842F5" w:rsidTr="0008496E">
        <w:trPr>
          <w:tblCellSpacing w:w="0" w:type="dxa"/>
        </w:trPr>
        <w:tc>
          <w:tcPr>
            <w:tcW w:w="2525"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rPr>
                <w:sz w:val="16"/>
                <w:szCs w:val="16"/>
              </w:rPr>
            </w:pPr>
            <w:r w:rsidRPr="00A842F5">
              <w:rPr>
                <w:sz w:val="16"/>
                <w:szCs w:val="16"/>
              </w:rPr>
              <w:lastRenderedPageBreak/>
              <w:t>Renten- und Arbeitslosen-</w:t>
            </w:r>
            <w:proofErr w:type="spellStart"/>
            <w:r w:rsidRPr="00A842F5">
              <w:rPr>
                <w:sz w:val="16"/>
                <w:szCs w:val="16"/>
              </w:rPr>
              <w:t>versicherung</w:t>
            </w:r>
            <w:proofErr w:type="spellEnd"/>
            <w:r w:rsidRPr="00A842F5">
              <w:rPr>
                <w:sz w:val="16"/>
                <w:szCs w:val="16"/>
              </w:rPr>
              <w:t xml:space="preserve"> (Monat/Jahr)</w:t>
            </w:r>
          </w:p>
        </w:tc>
        <w:tc>
          <w:tcPr>
            <w:tcW w:w="2268"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jc w:val="right"/>
              <w:rPr>
                <w:sz w:val="16"/>
                <w:szCs w:val="16"/>
              </w:rPr>
            </w:pPr>
            <w:r w:rsidRPr="00A842F5">
              <w:rPr>
                <w:sz w:val="16"/>
                <w:szCs w:val="16"/>
              </w:rPr>
              <w:t>5.950 €/71.400 €</w:t>
            </w:r>
            <w:r w:rsidRPr="00A842F5">
              <w:rPr>
                <w:sz w:val="16"/>
                <w:szCs w:val="16"/>
              </w:rPr>
              <w:br/>
              <w:t>(2013: 5.800 €/69.600 €)</w:t>
            </w:r>
          </w:p>
        </w:tc>
      </w:tr>
      <w:tr w:rsidR="00936424" w:rsidRPr="00A842F5" w:rsidTr="0008496E">
        <w:trPr>
          <w:tblCellSpacing w:w="0" w:type="dxa"/>
        </w:trPr>
        <w:tc>
          <w:tcPr>
            <w:tcW w:w="2525"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rPr>
                <w:sz w:val="16"/>
                <w:szCs w:val="16"/>
              </w:rPr>
            </w:pPr>
            <w:r w:rsidRPr="00A842F5">
              <w:rPr>
                <w:sz w:val="16"/>
                <w:szCs w:val="16"/>
              </w:rPr>
              <w:t>knappschaftliche Rentenversicherung (Monat/Jahr)</w:t>
            </w:r>
          </w:p>
        </w:tc>
        <w:tc>
          <w:tcPr>
            <w:tcW w:w="2268"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jc w:val="right"/>
              <w:rPr>
                <w:sz w:val="16"/>
                <w:szCs w:val="16"/>
              </w:rPr>
            </w:pPr>
            <w:r w:rsidRPr="00A842F5">
              <w:rPr>
                <w:sz w:val="16"/>
                <w:szCs w:val="16"/>
              </w:rPr>
              <w:t>7.300 €/87.600 €</w:t>
            </w:r>
            <w:r w:rsidRPr="00A842F5">
              <w:rPr>
                <w:sz w:val="16"/>
                <w:szCs w:val="16"/>
              </w:rPr>
              <w:br/>
              <w:t>(2013: 7.100 €/85.200 €)</w:t>
            </w:r>
          </w:p>
        </w:tc>
      </w:tr>
      <w:tr w:rsidR="00936424" w:rsidRPr="00A842F5" w:rsidTr="0008496E">
        <w:trPr>
          <w:tblCellSpacing w:w="0" w:type="dxa"/>
        </w:trPr>
        <w:tc>
          <w:tcPr>
            <w:tcW w:w="2525" w:type="dxa"/>
            <w:tcBorders>
              <w:top w:val="outset" w:sz="6" w:space="0" w:color="auto"/>
              <w:left w:val="outset" w:sz="6" w:space="0" w:color="auto"/>
              <w:bottom w:val="outset" w:sz="6" w:space="0" w:color="auto"/>
              <w:right w:val="outset" w:sz="6" w:space="0" w:color="auto"/>
            </w:tcBorders>
          </w:tcPr>
          <w:p w:rsidR="00936424" w:rsidRPr="00A842F5" w:rsidRDefault="00724FD9" w:rsidP="0008496E">
            <w:pPr>
              <w:pStyle w:val="TabelleText"/>
              <w:spacing w:line="186" w:lineRule="exact"/>
              <w:rPr>
                <w:sz w:val="16"/>
                <w:szCs w:val="16"/>
              </w:rPr>
            </w:pPr>
            <w:r>
              <w:rPr>
                <w:sz w:val="16"/>
                <w:szCs w:val="16"/>
              </w:rPr>
              <w:t>Kranken- und Pflege</w:t>
            </w:r>
            <w:r w:rsidR="00936424" w:rsidRPr="00A842F5">
              <w:rPr>
                <w:sz w:val="16"/>
                <w:szCs w:val="16"/>
              </w:rPr>
              <w:t>versicherung (Monat/Jahr)</w:t>
            </w:r>
          </w:p>
        </w:tc>
        <w:tc>
          <w:tcPr>
            <w:tcW w:w="2268"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jc w:val="right"/>
              <w:rPr>
                <w:sz w:val="16"/>
                <w:szCs w:val="16"/>
              </w:rPr>
            </w:pPr>
            <w:r w:rsidRPr="00A842F5">
              <w:rPr>
                <w:sz w:val="16"/>
                <w:szCs w:val="16"/>
              </w:rPr>
              <w:t>4.050 €/48.600 €</w:t>
            </w:r>
            <w:r w:rsidRPr="00A842F5">
              <w:rPr>
                <w:sz w:val="16"/>
                <w:szCs w:val="16"/>
              </w:rPr>
              <w:br/>
              <w:t>(2013: 3.937,50 €/47.250 €)</w:t>
            </w:r>
          </w:p>
        </w:tc>
      </w:tr>
      <w:tr w:rsidR="00936424" w:rsidRPr="00A842F5" w:rsidTr="0008496E">
        <w:trPr>
          <w:tblCellSpacing w:w="0" w:type="dxa"/>
        </w:trPr>
        <w:tc>
          <w:tcPr>
            <w:tcW w:w="4793" w:type="dxa"/>
            <w:gridSpan w:val="2"/>
            <w:tcBorders>
              <w:top w:val="outset" w:sz="6" w:space="0" w:color="auto"/>
              <w:left w:val="outset" w:sz="6" w:space="0" w:color="auto"/>
              <w:bottom w:val="single" w:sz="4" w:space="0" w:color="000000"/>
              <w:right w:val="outset" w:sz="6" w:space="0" w:color="auto"/>
            </w:tcBorders>
            <w:shd w:val="clear" w:color="auto" w:fill="E0E0E0"/>
          </w:tcPr>
          <w:p w:rsidR="00936424" w:rsidRPr="00A842F5" w:rsidRDefault="00936424" w:rsidP="0008496E">
            <w:pPr>
              <w:pStyle w:val="TabelleText"/>
              <w:rPr>
                <w:rStyle w:val="Textfett"/>
                <w:sz w:val="16"/>
                <w:szCs w:val="16"/>
              </w:rPr>
            </w:pPr>
            <w:r w:rsidRPr="00A842F5">
              <w:rPr>
                <w:rStyle w:val="Textfett"/>
                <w:sz w:val="16"/>
                <w:szCs w:val="16"/>
              </w:rPr>
              <w:t>Beitragsbemessungsgrenze Ost</w:t>
            </w:r>
          </w:p>
        </w:tc>
      </w:tr>
      <w:tr w:rsidR="00936424" w:rsidRPr="00A842F5" w:rsidTr="0008496E">
        <w:trPr>
          <w:tblCellSpacing w:w="0" w:type="dxa"/>
        </w:trPr>
        <w:tc>
          <w:tcPr>
            <w:tcW w:w="2525"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rPr>
                <w:sz w:val="16"/>
                <w:szCs w:val="16"/>
              </w:rPr>
            </w:pPr>
            <w:r w:rsidRPr="00A842F5">
              <w:rPr>
                <w:sz w:val="16"/>
                <w:szCs w:val="16"/>
              </w:rPr>
              <w:t>Renten- und Arbeitslosen-</w:t>
            </w:r>
            <w:proofErr w:type="spellStart"/>
            <w:r w:rsidRPr="00A842F5">
              <w:rPr>
                <w:sz w:val="16"/>
                <w:szCs w:val="16"/>
              </w:rPr>
              <w:t>versicherung</w:t>
            </w:r>
            <w:proofErr w:type="spellEnd"/>
            <w:r w:rsidRPr="00A842F5">
              <w:rPr>
                <w:sz w:val="16"/>
                <w:szCs w:val="16"/>
              </w:rPr>
              <w:t xml:space="preserve"> (Monat/Jahr)</w:t>
            </w:r>
          </w:p>
        </w:tc>
        <w:tc>
          <w:tcPr>
            <w:tcW w:w="2268"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jc w:val="right"/>
              <w:rPr>
                <w:sz w:val="16"/>
                <w:szCs w:val="16"/>
              </w:rPr>
            </w:pPr>
            <w:r w:rsidRPr="00A842F5">
              <w:rPr>
                <w:sz w:val="16"/>
                <w:szCs w:val="16"/>
              </w:rPr>
              <w:t>5.000 €/60.000 €</w:t>
            </w:r>
            <w:r w:rsidRPr="00A842F5">
              <w:rPr>
                <w:sz w:val="16"/>
                <w:szCs w:val="16"/>
              </w:rPr>
              <w:br/>
              <w:t>(2013: 4.900 €/58.800 €)</w:t>
            </w:r>
          </w:p>
        </w:tc>
      </w:tr>
      <w:tr w:rsidR="00936424" w:rsidRPr="00A842F5" w:rsidTr="0008496E">
        <w:trPr>
          <w:tblCellSpacing w:w="0" w:type="dxa"/>
        </w:trPr>
        <w:tc>
          <w:tcPr>
            <w:tcW w:w="2525"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rPr>
                <w:sz w:val="16"/>
                <w:szCs w:val="16"/>
              </w:rPr>
            </w:pPr>
            <w:r w:rsidRPr="00A842F5">
              <w:rPr>
                <w:sz w:val="16"/>
                <w:szCs w:val="16"/>
              </w:rPr>
              <w:t>knappschaftliche Rentenversicherung (Monat/Jahr)</w:t>
            </w:r>
          </w:p>
        </w:tc>
        <w:tc>
          <w:tcPr>
            <w:tcW w:w="2268"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jc w:val="right"/>
              <w:rPr>
                <w:sz w:val="16"/>
                <w:szCs w:val="16"/>
              </w:rPr>
            </w:pPr>
            <w:r w:rsidRPr="00A842F5">
              <w:rPr>
                <w:sz w:val="16"/>
                <w:szCs w:val="16"/>
              </w:rPr>
              <w:t>6.150 €/73.800 €</w:t>
            </w:r>
            <w:r w:rsidRPr="00A842F5">
              <w:rPr>
                <w:sz w:val="16"/>
                <w:szCs w:val="16"/>
              </w:rPr>
              <w:br/>
              <w:t>(2013: 6.050 €/72.600 €)</w:t>
            </w:r>
          </w:p>
        </w:tc>
      </w:tr>
      <w:tr w:rsidR="00936424" w:rsidRPr="00A842F5" w:rsidTr="0008496E">
        <w:trPr>
          <w:tblCellSpacing w:w="0" w:type="dxa"/>
        </w:trPr>
        <w:tc>
          <w:tcPr>
            <w:tcW w:w="2525" w:type="dxa"/>
            <w:tcBorders>
              <w:top w:val="outset" w:sz="6" w:space="0" w:color="auto"/>
              <w:left w:val="outset" w:sz="6" w:space="0" w:color="auto"/>
              <w:bottom w:val="outset" w:sz="6" w:space="0" w:color="auto"/>
              <w:right w:val="outset" w:sz="6" w:space="0" w:color="auto"/>
            </w:tcBorders>
          </w:tcPr>
          <w:p w:rsidR="00936424" w:rsidRPr="00A842F5" w:rsidRDefault="00724FD9" w:rsidP="0008496E">
            <w:pPr>
              <w:pStyle w:val="TabelleText"/>
              <w:spacing w:line="186" w:lineRule="exact"/>
              <w:rPr>
                <w:sz w:val="16"/>
                <w:szCs w:val="16"/>
              </w:rPr>
            </w:pPr>
            <w:r>
              <w:rPr>
                <w:sz w:val="16"/>
                <w:szCs w:val="16"/>
              </w:rPr>
              <w:t>Kranken- und Pflege</w:t>
            </w:r>
            <w:r w:rsidR="00936424" w:rsidRPr="00A842F5">
              <w:rPr>
                <w:sz w:val="16"/>
                <w:szCs w:val="16"/>
              </w:rPr>
              <w:t>versicherung (Monat/Jahr)</w:t>
            </w:r>
          </w:p>
        </w:tc>
        <w:tc>
          <w:tcPr>
            <w:tcW w:w="2268" w:type="dxa"/>
            <w:tcBorders>
              <w:top w:val="outset" w:sz="6" w:space="0" w:color="auto"/>
              <w:left w:val="outset" w:sz="6" w:space="0" w:color="auto"/>
              <w:bottom w:val="outset" w:sz="6" w:space="0" w:color="auto"/>
              <w:right w:val="outset" w:sz="6" w:space="0" w:color="auto"/>
            </w:tcBorders>
          </w:tcPr>
          <w:p w:rsidR="00936424" w:rsidRPr="00A842F5" w:rsidRDefault="00936424" w:rsidP="0008496E">
            <w:pPr>
              <w:pStyle w:val="TabelleText"/>
              <w:spacing w:line="186" w:lineRule="exact"/>
              <w:jc w:val="right"/>
              <w:rPr>
                <w:sz w:val="16"/>
                <w:szCs w:val="16"/>
              </w:rPr>
            </w:pPr>
            <w:r w:rsidRPr="00A842F5">
              <w:rPr>
                <w:sz w:val="16"/>
                <w:szCs w:val="16"/>
              </w:rPr>
              <w:t>4.050 €/48.600 €</w:t>
            </w:r>
            <w:r w:rsidRPr="00A842F5">
              <w:rPr>
                <w:sz w:val="16"/>
                <w:szCs w:val="16"/>
              </w:rPr>
              <w:br/>
              <w:t>(2013: 3.937,50 €/47.250 €)</w:t>
            </w:r>
          </w:p>
        </w:tc>
      </w:tr>
    </w:tbl>
    <w:p w:rsidR="00936424" w:rsidRPr="00A842F5" w:rsidRDefault="00936424" w:rsidP="00936424">
      <w:pPr>
        <w:spacing w:before="120" w:after="140"/>
        <w:rPr>
          <w:sz w:val="16"/>
          <w:szCs w:val="16"/>
        </w:rPr>
      </w:pPr>
      <w:r w:rsidRPr="00A842F5">
        <w:rPr>
          <w:sz w:val="16"/>
          <w:szCs w:val="16"/>
        </w:rPr>
        <w:t>Die Versicherungspflichtgrenze in der gesetzlichen Krankenversicherung steigt auf 53.550 € (2013: 52.200 €). Für Arbeitnehmer, die bereits am 31. 12. 2002 aufgrund der zu diesem Zeitpunkt geltenden Regelungen wegen des Überschreitens der Jahresarbeitsentgeltgrenze versicherungsfrei und privat versichert waren, steigt die Jahresarbeitsentgeltgrenze auf 48.600 € (2013: 47.250 €).</w:t>
      </w:r>
    </w:p>
    <w:p w:rsidR="00936424" w:rsidRPr="00A842F5" w:rsidRDefault="00936424" w:rsidP="00936424">
      <w:pPr>
        <w:spacing w:after="240"/>
        <w:rPr>
          <w:sz w:val="16"/>
          <w:szCs w:val="16"/>
        </w:rPr>
      </w:pPr>
      <w:r w:rsidRPr="00A842F5">
        <w:rPr>
          <w:rStyle w:val="Textfett"/>
          <w:sz w:val="16"/>
          <w:szCs w:val="16"/>
        </w:rPr>
        <w:t>Hinweis</w:t>
      </w:r>
      <w:r w:rsidRPr="00A842F5">
        <w:rPr>
          <w:sz w:val="16"/>
          <w:szCs w:val="16"/>
        </w:rPr>
        <w:t>: Die S</w:t>
      </w:r>
      <w:r w:rsidR="00A842F5">
        <w:rPr>
          <w:sz w:val="16"/>
          <w:szCs w:val="16"/>
        </w:rPr>
        <w:t>ozialversicherungs-Rechengrößen</w:t>
      </w:r>
      <w:r w:rsidRPr="00A842F5">
        <w:rPr>
          <w:sz w:val="16"/>
          <w:szCs w:val="16"/>
        </w:rPr>
        <w:t>verordnung 2014 muss noch endgültig verabschiedet werden. Allerdings ist mit einer Änderung der Werte nicht zu rechnen, da es sich um statistische Rechengrößen handelt.</w:t>
      </w:r>
    </w:p>
    <w:p w:rsidR="00936424" w:rsidRPr="00A842F5" w:rsidRDefault="00936424" w:rsidP="00A842F5">
      <w:pPr>
        <w:pStyle w:val="berschrift1"/>
        <w:spacing w:before="0" w:after="160"/>
        <w:jc w:val="both"/>
        <w:rPr>
          <w:rFonts w:cs="Arial"/>
          <w:b w:val="0"/>
          <w:sz w:val="16"/>
          <w:szCs w:val="16"/>
        </w:rPr>
      </w:pPr>
      <w:r w:rsidRPr="00A842F5">
        <w:rPr>
          <w:rFonts w:cs="Arial"/>
          <w:sz w:val="16"/>
          <w:szCs w:val="16"/>
        </w:rPr>
        <w:t>7Sonstiges</w:t>
      </w:r>
      <w:r w:rsidRPr="00A842F5">
        <w:rPr>
          <w:rFonts w:cs="Arial"/>
          <w:sz w:val="16"/>
          <w:szCs w:val="16"/>
        </w:rPr>
        <w:br/>
      </w:r>
      <w:r w:rsidRPr="00A842F5">
        <w:rPr>
          <w:rFonts w:cs="Arial"/>
          <w:sz w:val="16"/>
          <w:szCs w:val="16"/>
        </w:rPr>
        <w:br/>
      </w:r>
      <w:r w:rsidRPr="00A842F5">
        <w:rPr>
          <w:rFonts w:cs="Arial"/>
          <w:b w:val="0"/>
          <w:sz w:val="16"/>
          <w:szCs w:val="16"/>
        </w:rPr>
        <w:t xml:space="preserve">Wir möchten Sie darauf hinweisen, dass sämtliche für die Besteuerung </w:t>
      </w:r>
      <w:proofErr w:type="gramStart"/>
      <w:r w:rsidRPr="00A842F5">
        <w:rPr>
          <w:rFonts w:cs="Arial"/>
          <w:b w:val="0"/>
          <w:sz w:val="16"/>
          <w:szCs w:val="16"/>
        </w:rPr>
        <w:t>wesentlichen Vertragsunterlagen</w:t>
      </w:r>
      <w:proofErr w:type="gramEnd"/>
      <w:r w:rsidRPr="00A842F5">
        <w:rPr>
          <w:rFonts w:cs="Arial"/>
          <w:b w:val="0"/>
          <w:sz w:val="16"/>
          <w:szCs w:val="16"/>
        </w:rPr>
        <w:t xml:space="preserve"> (Mietverträge, Leasingverträge, Kaufverträge) im Rahmen der mtl. Buchführung einzureichen  sind. Die Finanzverwaltung lässt sich bei neuen Vertragsverhältnissen mittlerweile sämtliche Unterlagen vorlegen.</w:t>
      </w:r>
    </w:p>
    <w:p w:rsidR="00936424" w:rsidRPr="00A842F5" w:rsidRDefault="00936424" w:rsidP="00936424">
      <w:pPr>
        <w:rPr>
          <w:sz w:val="16"/>
          <w:szCs w:val="16"/>
        </w:rPr>
      </w:pPr>
    </w:p>
    <w:p w:rsidR="00936424" w:rsidRPr="00A842F5" w:rsidRDefault="00936424" w:rsidP="00936424">
      <w:pPr>
        <w:rPr>
          <w:sz w:val="16"/>
          <w:szCs w:val="16"/>
        </w:rPr>
      </w:pPr>
      <w:r w:rsidRPr="00A842F5">
        <w:rPr>
          <w:sz w:val="16"/>
          <w:szCs w:val="16"/>
        </w:rPr>
        <w:t>Zum Abschluss möchten wir Ihnen, Ihren Familien und Ihren Angehörigen eine besinnliche und schöne Weihnachtszeit wünschen.</w:t>
      </w:r>
    </w:p>
    <w:p w:rsidR="00936424" w:rsidRPr="00A842F5" w:rsidRDefault="00936424" w:rsidP="00936424">
      <w:pPr>
        <w:pStyle w:val="berschrift1"/>
        <w:spacing w:before="0" w:after="160"/>
        <w:rPr>
          <w:rFonts w:cs="Arial"/>
          <w:sz w:val="16"/>
          <w:szCs w:val="16"/>
        </w:rPr>
      </w:pPr>
    </w:p>
    <w:p w:rsidR="00936424" w:rsidRPr="00A842F5" w:rsidRDefault="00A842F5" w:rsidP="00936424">
      <w:pPr>
        <w:rPr>
          <w:sz w:val="16"/>
          <w:szCs w:val="16"/>
        </w:rPr>
      </w:pPr>
      <w:proofErr w:type="spellStart"/>
      <w:r>
        <w:rPr>
          <w:sz w:val="16"/>
          <w:szCs w:val="16"/>
        </w:rPr>
        <w:t>gez</w:t>
      </w:r>
      <w:proofErr w:type="spellEnd"/>
      <w:r>
        <w:rPr>
          <w:sz w:val="16"/>
          <w:szCs w:val="16"/>
        </w:rPr>
        <w:tab/>
      </w:r>
      <w:r>
        <w:rPr>
          <w:sz w:val="16"/>
          <w:szCs w:val="16"/>
        </w:rPr>
        <w:tab/>
      </w:r>
      <w:r>
        <w:rPr>
          <w:sz w:val="16"/>
          <w:szCs w:val="16"/>
        </w:rPr>
        <w:tab/>
      </w:r>
      <w:r>
        <w:rPr>
          <w:sz w:val="16"/>
          <w:szCs w:val="16"/>
        </w:rPr>
        <w:tab/>
      </w:r>
      <w:proofErr w:type="spellStart"/>
      <w:r>
        <w:rPr>
          <w:sz w:val="16"/>
          <w:szCs w:val="16"/>
        </w:rPr>
        <w:t>gez</w:t>
      </w:r>
      <w:proofErr w:type="spellEnd"/>
    </w:p>
    <w:p w:rsidR="00936424" w:rsidRPr="00A842F5" w:rsidRDefault="00724FD9" w:rsidP="00936424">
      <w:pPr>
        <w:rPr>
          <w:sz w:val="16"/>
          <w:szCs w:val="16"/>
        </w:rPr>
      </w:pPr>
      <w:r>
        <w:rPr>
          <w:sz w:val="16"/>
          <w:szCs w:val="16"/>
        </w:rPr>
        <w:t>(Claus Zanti</w:t>
      </w:r>
      <w:r w:rsidR="00936424" w:rsidRPr="00A842F5">
        <w:rPr>
          <w:sz w:val="16"/>
          <w:szCs w:val="16"/>
        </w:rPr>
        <w:t>s)</w:t>
      </w:r>
      <w:r w:rsidR="00936424" w:rsidRPr="00A842F5">
        <w:rPr>
          <w:sz w:val="16"/>
          <w:szCs w:val="16"/>
        </w:rPr>
        <w:tab/>
      </w:r>
      <w:r w:rsidR="00936424" w:rsidRPr="00A842F5">
        <w:rPr>
          <w:sz w:val="16"/>
          <w:szCs w:val="16"/>
        </w:rPr>
        <w:tab/>
      </w:r>
      <w:r w:rsidR="00936424" w:rsidRPr="00A842F5">
        <w:rPr>
          <w:sz w:val="16"/>
          <w:szCs w:val="16"/>
        </w:rPr>
        <w:tab/>
        <w:t>(Michael Meurer)</w:t>
      </w:r>
    </w:p>
    <w:sectPr w:rsidR="00936424" w:rsidRPr="00A842F5" w:rsidSect="0008496E">
      <w:headerReference w:type="even" r:id="rId15"/>
      <w:footerReference w:type="even" r:id="rId16"/>
      <w:headerReference w:type="first" r:id="rId17"/>
      <w:type w:val="continuous"/>
      <w:pgSz w:w="11907" w:h="16840" w:code="9"/>
      <w:pgMar w:top="1418" w:right="1021" w:bottom="1418" w:left="1021" w:header="454" w:footer="737" w:gutter="0"/>
      <w:cols w:num="2"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6E" w:rsidRDefault="0008496E" w:rsidP="004305D5">
      <w:pPr>
        <w:spacing w:after="0" w:line="240" w:lineRule="auto"/>
      </w:pPr>
      <w:r>
        <w:separator/>
      </w:r>
    </w:p>
  </w:endnote>
  <w:endnote w:type="continuationSeparator" w:id="0">
    <w:p w:rsidR="0008496E" w:rsidRDefault="0008496E" w:rsidP="00430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9C74D5" w:rsidRDefault="0008496E" w:rsidP="0008496E">
    <w:pPr>
      <w:pStyle w:val="Fuzeile"/>
    </w:pPr>
    <w:r w:rsidRPr="000F6FBF">
      <w:fldChar w:fldCharType="begin"/>
    </w:r>
    <w:r w:rsidRPr="000F6FBF">
      <w:instrText xml:space="preserve"> IF  </w:instrText>
    </w:r>
    <w:fldSimple w:instr=" PAGE ">
      <w:r>
        <w:rPr>
          <w:noProof/>
        </w:rPr>
        <w:instrText>2</w:instrText>
      </w:r>
    </w:fldSimple>
    <w:r w:rsidRPr="000F6FBF">
      <w:instrText>="4" " Alle Beiträge sind nach bestem Wissen erstellt. Eine Haftung für den Inhalt kann jedoch nicht übernommen werden." ""</w:instrText>
    </w:r>
    <w:r w:rsidRPr="000F6FB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B0464A" w:rsidRDefault="0008496E" w:rsidP="0008496E">
    <w:pPr>
      <w:pStyle w:val="Fuzeile"/>
    </w:pPr>
    <w:r w:rsidRPr="000F6FBF">
      <w:fldChar w:fldCharType="begin"/>
    </w:r>
    <w:r w:rsidRPr="000F6FBF">
      <w:instrText xml:space="preserve"> IF  </w:instrText>
    </w:r>
    <w:fldSimple w:instr=" PAGE ">
      <w:r>
        <w:rPr>
          <w:noProof/>
        </w:rPr>
        <w:instrText>2</w:instrText>
      </w:r>
    </w:fldSimple>
    <w:r w:rsidRPr="000F6FBF">
      <w:instrText>="4" " Alle Beiträge sind nach bestem Wissen erstellt. Eine Haftung für den Inhalt kann jedoch nicht übernommen werden." ""</w:instrText>
    </w:r>
    <w:r w:rsidRPr="000F6FBF">
      <w:fldChar w:fldCharType="end"/>
    </w:r>
    <w:r w:rsidRPr="000F6FBF">
      <w:t xml:space="preserve"> </w:t>
    </w:r>
    <w:r w:rsidRPr="00EA696C">
      <w:fldChar w:fldCharType="begin"/>
    </w:r>
    <w:r w:rsidRPr="00EA696C">
      <w:instrText xml:space="preserve"> IF  </w:instrText>
    </w:r>
    <w:fldSimple w:instr=" PAGE ">
      <w:r>
        <w:rPr>
          <w:noProof/>
        </w:rPr>
        <w:instrText>2</w:instrText>
      </w:r>
    </w:fldSimple>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Pr="00B929CA">
      <w:rPr>
        <w:noProof/>
        <w:sz w:val="12"/>
        <w:szCs w:val="12"/>
      </w:rPr>
      <w:sym w:font="Wingdings" w:char="F06E"/>
    </w:r>
    <w:r>
      <w:rPr>
        <w:noProof/>
      </w:rPr>
      <w:t xml:space="preserve"> </w:t>
    </w:r>
    <w:r w:rsidRPr="00B929CA">
      <w:rPr>
        <w:noProof/>
        <w:sz w:val="12"/>
        <w:szCs w:val="12"/>
      </w:rPr>
      <w:sym w:font="Wingdings" w:char="F06E"/>
    </w:r>
    <w:r w:rsidRPr="00EA696C">
      <w:rPr>
        <w:noProof/>
      </w:rPr>
      <w:t xml:space="preserve"> Aktuelle Hinweise für das Gespräch mit Ihrem Steuerberater </w:t>
    </w:r>
    <w:r w:rsidRPr="00B929CA">
      <w:rPr>
        <w:noProof/>
        <w:sz w:val="12"/>
        <w:szCs w:val="12"/>
      </w:rPr>
      <w:sym w:font="Wingdings" w:char="F06E"/>
    </w:r>
    <w:r>
      <w:rPr>
        <w:noProof/>
      </w:rPr>
      <w:t xml:space="preserve"> </w:t>
    </w:r>
    <w:r w:rsidRPr="00B929CA">
      <w:rPr>
        <w:noProof/>
        <w:sz w:val="12"/>
        <w:szCs w:val="12"/>
      </w:rPr>
      <w:sym w:font="Wingdings" w:char="F06E"/>
    </w:r>
    <w:r w:rsidRPr="00EA696C">
      <w:rPr>
        <w:noProof/>
      </w:rPr>
      <w:t xml:space="preserve">  Aktuelle Hinweise für das Gespräch mit Ihrem Steuerberater </w:t>
    </w:r>
    <w:r w:rsidRPr="00B929CA">
      <w:rPr>
        <w:noProof/>
        <w:sz w:val="12"/>
        <w:szCs w:val="12"/>
      </w:rPr>
      <w:sym w:font="Wingdings" w:char="F06E"/>
    </w:r>
    <w:r>
      <w:rPr>
        <w:noProof/>
      </w:rPr>
      <w:t xml:space="preserve"> </w:t>
    </w:r>
    <w:r w:rsidRPr="00B929CA">
      <w:rPr>
        <w:noProof/>
        <w:sz w:val="12"/>
        <w:szCs w:val="12"/>
      </w:rPr>
      <w:sym w:font="Wingdings" w:char="F06E"/>
    </w:r>
    <w:r w:rsidRPr="00EA696C">
      <w:rPr>
        <w:noProof/>
      </w:rPr>
      <w:t xml:space="preserve"> </w:t>
    </w:r>
    <w:r w:rsidRPr="00EA696C">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9F3044" w:rsidRDefault="0008496E" w:rsidP="0008496E">
    <w:pPr>
      <w:pStyle w:val="Fuzeile"/>
    </w:pPr>
    <w:r w:rsidRPr="00EA696C">
      <w:fldChar w:fldCharType="begin"/>
    </w:r>
    <w:r w:rsidRPr="00EA696C">
      <w:instrText xml:space="preserve"> IF  </w:instrText>
    </w:r>
    <w:fldSimple w:instr=" PAGE ">
      <w:r>
        <w:rPr>
          <w:noProof/>
        </w:rPr>
        <w:instrText>1</w:instrText>
      </w:r>
    </w:fldSimple>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sidRPr="00B929CA">
      <w:rPr>
        <w:noProof/>
        <w:sz w:val="12"/>
        <w:szCs w:val="12"/>
      </w:rPr>
      <w:sym w:font="Wingdings" w:char="F06E"/>
    </w:r>
    <w:r>
      <w:rPr>
        <w:noProof/>
      </w:rPr>
      <w:t xml:space="preserve"> </w:t>
    </w:r>
    <w:r w:rsidRPr="00B929CA">
      <w:rPr>
        <w:noProof/>
        <w:sz w:val="12"/>
        <w:szCs w:val="12"/>
      </w:rPr>
      <w:sym w:font="Wingdings" w:char="F06E"/>
    </w:r>
    <w:r w:rsidRPr="00EA696C">
      <w:rPr>
        <w:noProof/>
      </w:rPr>
      <w:t xml:space="preserve"> Aktuelle Hinweise für das Gespräch mit Ihrem Steuerberater </w:t>
    </w:r>
    <w:r w:rsidRPr="00B929CA">
      <w:rPr>
        <w:noProof/>
        <w:sz w:val="12"/>
        <w:szCs w:val="12"/>
      </w:rPr>
      <w:sym w:font="Wingdings" w:char="F06E"/>
    </w:r>
    <w:r>
      <w:rPr>
        <w:noProof/>
      </w:rPr>
      <w:t xml:space="preserve"> </w:t>
    </w:r>
    <w:r w:rsidRPr="00B929CA">
      <w:rPr>
        <w:noProof/>
        <w:sz w:val="12"/>
        <w:szCs w:val="12"/>
      </w:rPr>
      <w:sym w:font="Wingdings" w:char="F06E"/>
    </w:r>
    <w:r w:rsidRPr="00EA696C">
      <w:rPr>
        <w:noProof/>
      </w:rPr>
      <w:t xml:space="preserve">  Aktuelle Hinweise für das Gespräch mit Ihrem Steuerberater </w:t>
    </w:r>
    <w:r w:rsidRPr="00B929CA">
      <w:rPr>
        <w:noProof/>
        <w:sz w:val="12"/>
        <w:szCs w:val="12"/>
      </w:rPr>
      <w:sym w:font="Wingdings" w:char="F06E"/>
    </w:r>
    <w:r>
      <w:rPr>
        <w:noProof/>
      </w:rPr>
      <w:t xml:space="preserve"> </w:t>
    </w:r>
    <w:r w:rsidRPr="00B929CA">
      <w:rPr>
        <w:noProof/>
        <w:sz w:val="12"/>
        <w:szCs w:val="12"/>
      </w:rPr>
      <w:sym w:font="Wingdings" w:char="F06E"/>
    </w:r>
    <w:r w:rsidRPr="00EA696C">
      <w:rPr>
        <w:noProof/>
      </w:rPr>
      <w:t xml:space="preserve"> </w:t>
    </w:r>
    <w:r w:rsidRPr="00EA696C">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9C74D5" w:rsidRDefault="0008496E" w:rsidP="0008496E">
    <w:pPr>
      <w:pStyle w:val="Fuzeile"/>
    </w:pPr>
    <w:r w:rsidRPr="00EA696C">
      <w:fldChar w:fldCharType="begin"/>
    </w:r>
    <w:r w:rsidRPr="00EA696C">
      <w:instrText xml:space="preserve"> IF  </w:instrText>
    </w:r>
    <w:fldSimple w:instr=" PAGE ">
      <w:r>
        <w:rPr>
          <w:noProof/>
        </w:rPr>
        <w:instrText>4</w:instrText>
      </w:r>
    </w:fldSimple>
    <w:r>
      <w:instrText>="4" " "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Aktuelle Hinweise für das Gespräch mit Ihrem Steuerberater </w:instrText>
    </w:r>
    <w:r w:rsidRPr="00B929CA">
      <w:rPr>
        <w:sz w:val="12"/>
        <w:szCs w:val="12"/>
      </w:rPr>
      <w:sym w:font="Wingdings" w:char="F06E"/>
    </w:r>
    <w:r>
      <w:instrText xml:space="preserve"> </w:instrText>
    </w:r>
    <w:r w:rsidRPr="00B929CA">
      <w:rPr>
        <w:sz w:val="12"/>
        <w:szCs w:val="12"/>
      </w:rPr>
      <w:sym w:font="Wingdings" w:char="F06E"/>
    </w:r>
    <w:r w:rsidRPr="00EA696C">
      <w:instrText xml:space="preserve"> "</w:instrText>
    </w:r>
    <w:r w:rsidRPr="00EA696C">
      <w:fldChar w:fldCharType="separate"/>
    </w:r>
    <w:r>
      <w:rPr>
        <w:noProof/>
      </w:rPr>
      <w:t xml:space="preserve"> </w:t>
    </w:r>
    <w:r w:rsidRPr="00EA696C">
      <w:fldChar w:fldCharType="end"/>
    </w:r>
    <w:r w:rsidRPr="000F6FBF">
      <w:fldChar w:fldCharType="begin"/>
    </w:r>
    <w:r w:rsidRPr="000F6FBF">
      <w:instrText xml:space="preserve"> IF  </w:instrText>
    </w:r>
    <w:fldSimple w:instr=" PAGE ">
      <w:r>
        <w:rPr>
          <w:noProof/>
        </w:rPr>
        <w:instrText>4</w:instrText>
      </w:r>
    </w:fldSimple>
    <w:r w:rsidRPr="000F6FBF">
      <w:instrText>="4" " Alle Beiträge sind nach bestem Wissen erstellt. Eine Haftung für den Inhalt kann jedoch nicht übernommen werden." ""</w:instrText>
    </w:r>
    <w:r w:rsidRPr="000F6FBF">
      <w:fldChar w:fldCharType="separate"/>
    </w:r>
    <w:r w:rsidRPr="000F6FBF">
      <w:rPr>
        <w:noProof/>
      </w:rPr>
      <w:t xml:space="preserve"> Alle Beiträge sind nach bestem Wissen erstellt. Eine Haftung für den Inhalt kann jedoch nicht übernommen werden.</w:t>
    </w:r>
    <w:r w:rsidRPr="000F6FB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6E" w:rsidRDefault="0008496E" w:rsidP="004305D5">
      <w:pPr>
        <w:spacing w:after="0" w:line="240" w:lineRule="auto"/>
      </w:pPr>
      <w:r>
        <w:separator/>
      </w:r>
    </w:p>
  </w:footnote>
  <w:footnote w:type="continuationSeparator" w:id="0">
    <w:p w:rsidR="0008496E" w:rsidRDefault="0008496E" w:rsidP="00430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876769" w:rsidRDefault="0008496E" w:rsidP="0008496E">
    <w:pPr>
      <w:pStyle w:val="Kopfzeile"/>
      <w:rPr>
        <w:rStyle w:val="Textfett"/>
      </w:rPr>
    </w:pPr>
    <w:r w:rsidRPr="008512CA">
      <w:rPr>
        <w:noProof/>
      </w:rPr>
      <w:pict>
        <v:rect id="_x0000_s2052" style="position:absolute;left:0;text-align:left;margin-left:0;margin-top:19.85pt;width:238.1pt;height:4.25pt;z-index:251660800" o:allowincell="f" fillcolor="silver" stroked="f"/>
      </w:pict>
    </w:r>
    <w:r w:rsidRPr="00876769">
      <w:rPr>
        <w:rStyle w:val="Textfett"/>
      </w:rPr>
      <w:t>Die Mandanten-</w:t>
    </w:r>
    <w:r w:rsidRPr="000D512A">
      <w:rPr>
        <w:rFonts w:ascii="Arial Narrow" w:hAnsi="Arial Narrow"/>
        <w:b/>
        <w:color w:val="808080"/>
        <w:w w:val="127"/>
        <w:sz w:val="45"/>
        <w:szCs w:val="45"/>
      </w:rPr>
      <w:t>Information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C55FD7" w:rsidRDefault="0008496E" w:rsidP="0008496E">
    <w:pPr>
      <w:pStyle w:val="Kopfzeile"/>
      <w:jc w:val="right"/>
    </w:pPr>
    <w:r w:rsidRPr="00927411">
      <w:rPr>
        <w:rStyle w:val="Textfett"/>
      </w:rPr>
      <w:t>Die Mandanten</w:t>
    </w:r>
    <w:r>
      <w:t xml:space="preserve"> </w:t>
    </w:r>
    <w:r w:rsidRPr="00C55FD7">
      <w:rPr>
        <w:sz w:val="50"/>
        <w:szCs w:val="50"/>
      </w:rPr>
      <w:t>I</w:t>
    </w:r>
    <w:r>
      <w:t xml:space="preserve"> </w:t>
    </w:r>
    <w:r w:rsidRPr="00C55FD7">
      <w:t>Information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EF233F" w:rsidRDefault="0008496E" w:rsidP="0008496E">
    <w:pPr>
      <w:pStyle w:val="ErsteKopfzeile"/>
    </w:pPr>
    <w:r>
      <w:pict>
        <v:line id="_x0000_s2051" style="position:absolute;left:0;text-align:left;z-index:251658752;mso-position-horizontal-relative:page;mso-position-vertical-relative:page" from="0,421pt" to="14.15pt,421pt" o:allowincell="f" strokeweight=".25pt">
          <w10:wrap anchorx="page" anchory="page"/>
        </v:line>
      </w:pict>
    </w:r>
    <w:r>
      <w:pict>
        <v:line id="_x0000_s2050" style="position:absolute;left:0;text-align:left;z-index:251656704;mso-position-horizontal-relative:page;mso-position-vertical-relative:page" from="0,595.35pt" to="14.15pt,595.35pt" o:allowincell="f" strokeweight=".25pt">
          <w10:wrap anchorx="page" anchory="page"/>
        </v:line>
      </w:pict>
    </w:r>
    <w:r>
      <w:pict>
        <v:line id="_x0000_s2049" style="position:absolute;left:0;text-align:left;z-index:251654656;mso-position-horizontal-relative:page;mso-position-vertical-relative:page" from="0,297.7pt" to="14.15pt,297.7pt" o:allowincell="f" strokeweight=".25pt">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Default="0008496E" w:rsidP="0008496E">
    <w:pPr>
      <w:pStyle w:val="Kopfzeile"/>
    </w:pPr>
    <w:r w:rsidRPr="00927411">
      <w:rPr>
        <w:rStyle w:val="Textfett"/>
      </w:rPr>
      <w:t>Die Mandanten</w:t>
    </w:r>
    <w:r>
      <w:t xml:space="preserve"> </w:t>
    </w:r>
    <w:r w:rsidRPr="00C55FD7">
      <w:rPr>
        <w:sz w:val="50"/>
        <w:szCs w:val="50"/>
      </w:rPr>
      <w:t>I</w:t>
    </w:r>
    <w:r>
      <w:t xml:space="preserve"> </w:t>
    </w:r>
    <w:r w:rsidRPr="00C55FD7">
      <w:t>Information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6E" w:rsidRPr="00876769" w:rsidRDefault="0008496E">
    <w:pPr>
      <w:pStyle w:val="ErsteKopfzeile"/>
      <w:rPr>
        <w:rStyle w:val="Textfett"/>
      </w:rPr>
    </w:pPr>
    <w:r w:rsidRPr="008512CA">
      <w:rPr>
        <w:noProof/>
      </w:rPr>
      <w:pict>
        <v:line id="_x0000_s2055" style="position:absolute;left:0;text-align:left;z-index:251659776;mso-position-horizontal-relative:page;mso-position-vertical-relative:page" from="0,421pt" to="28.35pt,421pt" o:allowincell="f" strokeweight=".5pt">
          <w10:wrap anchorx="page" anchory="page"/>
        </v:line>
      </w:pict>
    </w:r>
    <w:r w:rsidRPr="008512CA">
      <w:rPr>
        <w:noProof/>
      </w:rPr>
      <w:pict>
        <v:line id="_x0000_s2054" style="position:absolute;left:0;text-align:left;z-index:251657728;mso-position-horizontal-relative:page;mso-position-vertical-relative:page" from="0,595.35pt" to="28.35pt,595.35pt" o:allowincell="f" strokeweight=".5pt">
          <w10:wrap anchorx="page" anchory="page"/>
        </v:line>
      </w:pict>
    </w:r>
    <w:r w:rsidRPr="008512CA">
      <w:rPr>
        <w:noProof/>
      </w:rPr>
      <w:pict>
        <v:line id="_x0000_s2053" style="position:absolute;left:0;text-align:left;z-index:251655680;mso-position-horizontal-relative:page;mso-position-vertical-relative:page" from="0,297.7pt" to="28.35pt,297.7pt" o:allowincell="f" strokeweight=".5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DA7"/>
    <w:multiLevelType w:val="hybridMultilevel"/>
    <w:tmpl w:val="7EFAC6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45BB6"/>
    <w:multiLevelType w:val="hybridMultilevel"/>
    <w:tmpl w:val="11008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615CDF"/>
    <w:multiLevelType w:val="singleLevel"/>
    <w:tmpl w:val="FF2E4CC4"/>
    <w:lvl w:ilvl="0">
      <w:start w:val="1"/>
      <w:numFmt w:val="bullet"/>
      <w:lvlRestart w:val="0"/>
      <w:pStyle w:val="InhaltText"/>
      <w:lvlText w:val=""/>
      <w:lvlJc w:val="left"/>
      <w:pPr>
        <w:tabs>
          <w:tab w:val="num" w:pos="170"/>
        </w:tabs>
        <w:ind w:left="170" w:hanging="170"/>
      </w:pPr>
      <w:rPr>
        <w:rFonts w:ascii="Wingdings" w:hAnsi="Wingdings" w:hint="default"/>
        <w:sz w:val="14"/>
      </w:rPr>
    </w:lvl>
  </w:abstractNum>
  <w:abstractNum w:abstractNumId="3">
    <w:nsid w:val="2C0D1A02"/>
    <w:multiLevelType w:val="hybridMultilevel"/>
    <w:tmpl w:val="D76E47D0"/>
    <w:lvl w:ilvl="0" w:tplc="63623664">
      <w:start w:val="1"/>
      <w:numFmt w:val="bullet"/>
      <w:pStyle w:val="Punktliste"/>
      <w:lvlText w:val=""/>
      <w:lvlJc w:val="left"/>
      <w:pPr>
        <w:tabs>
          <w:tab w:val="num" w:pos="511"/>
        </w:tabs>
        <w:ind w:left="511" w:hanging="227"/>
      </w:pPr>
      <w:rPr>
        <w:rFonts w:ascii="Wingdings" w:hAnsi="Wingdings" w:hint="default"/>
        <w:sz w:val="14"/>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nsid w:val="2E3606EF"/>
    <w:multiLevelType w:val="hybridMultilevel"/>
    <w:tmpl w:val="B57AB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68D6ADD"/>
    <w:multiLevelType w:val="hybridMultilevel"/>
    <w:tmpl w:val="ACB8AE34"/>
    <w:lvl w:ilvl="0" w:tplc="C48CA77A">
      <w:start w:val="1"/>
      <w:numFmt w:val="decimal"/>
      <w:pStyle w:val="Aufzhlung"/>
      <w:lvlText w:val="%1."/>
      <w:lvlJc w:val="left"/>
      <w:pPr>
        <w:tabs>
          <w:tab w:val="num" w:pos="227"/>
        </w:tabs>
        <w:ind w:left="227" w:hanging="227"/>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36424"/>
    <w:rsid w:val="0008496E"/>
    <w:rsid w:val="004305D5"/>
    <w:rsid w:val="004C0ADD"/>
    <w:rsid w:val="005050AC"/>
    <w:rsid w:val="005079A0"/>
    <w:rsid w:val="00724FD9"/>
    <w:rsid w:val="008512CA"/>
    <w:rsid w:val="00936424"/>
    <w:rsid w:val="00A842F5"/>
    <w:rsid w:val="00E202F4"/>
    <w:rsid w:val="00F238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424"/>
    <w:pPr>
      <w:spacing w:after="100" w:line="230" w:lineRule="exact"/>
      <w:jc w:val="both"/>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936424"/>
    <w:pPr>
      <w:keepNext/>
      <w:suppressAutoHyphens/>
      <w:spacing w:before="240" w:after="60" w:line="280" w:lineRule="exact"/>
      <w:jc w:val="left"/>
      <w:outlineLvl w:val="0"/>
    </w:pPr>
    <w:rPr>
      <w:b/>
      <w:sz w:val="24"/>
    </w:rPr>
  </w:style>
  <w:style w:type="paragraph" w:styleId="berschrift2">
    <w:name w:val="heading 2"/>
    <w:basedOn w:val="Standard"/>
    <w:next w:val="Standard"/>
    <w:link w:val="berschrift2Zchn"/>
    <w:qFormat/>
    <w:rsid w:val="00936424"/>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6424"/>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936424"/>
    <w:rPr>
      <w:rFonts w:ascii="Arial" w:eastAsia="Times New Roman" w:hAnsi="Arial" w:cs="Arial"/>
      <w:b/>
      <w:bCs/>
      <w:i/>
      <w:iCs/>
      <w:sz w:val="28"/>
      <w:szCs w:val="28"/>
      <w:lang w:eastAsia="de-DE"/>
    </w:rPr>
  </w:style>
  <w:style w:type="paragraph" w:styleId="Kopfzeile">
    <w:name w:val="header"/>
    <w:basedOn w:val="Standard"/>
    <w:link w:val="KopfzeileZchn"/>
    <w:rsid w:val="00936424"/>
    <w:pPr>
      <w:tabs>
        <w:tab w:val="center" w:pos="4536"/>
        <w:tab w:val="right" w:pos="9072"/>
      </w:tabs>
      <w:spacing w:line="240" w:lineRule="auto"/>
    </w:pPr>
    <w:rPr>
      <w:caps/>
      <w:spacing w:val="16"/>
      <w:sz w:val="32"/>
      <w:szCs w:val="28"/>
    </w:rPr>
  </w:style>
  <w:style w:type="character" w:customStyle="1" w:styleId="KopfzeileZchn">
    <w:name w:val="Kopfzeile Zchn"/>
    <w:basedOn w:val="Absatz-Standardschriftart"/>
    <w:link w:val="Kopfzeile"/>
    <w:rsid w:val="00936424"/>
    <w:rPr>
      <w:rFonts w:ascii="Arial" w:eastAsia="Times New Roman" w:hAnsi="Arial" w:cs="Times New Roman"/>
      <w:caps/>
      <w:spacing w:val="16"/>
      <w:sz w:val="32"/>
      <w:szCs w:val="28"/>
      <w:lang w:eastAsia="de-DE"/>
    </w:rPr>
  </w:style>
  <w:style w:type="paragraph" w:styleId="Fuzeile">
    <w:name w:val="footer"/>
    <w:basedOn w:val="Standard"/>
    <w:link w:val="FuzeileZchn"/>
    <w:rsid w:val="00936424"/>
    <w:pPr>
      <w:jc w:val="center"/>
    </w:pPr>
    <w:rPr>
      <w:sz w:val="16"/>
      <w:szCs w:val="16"/>
    </w:rPr>
  </w:style>
  <w:style w:type="character" w:customStyle="1" w:styleId="FuzeileZchn">
    <w:name w:val="Fußzeile Zchn"/>
    <w:basedOn w:val="Absatz-Standardschriftart"/>
    <w:link w:val="Fuzeile"/>
    <w:rsid w:val="00936424"/>
    <w:rPr>
      <w:rFonts w:ascii="Arial" w:eastAsia="Times New Roman" w:hAnsi="Arial" w:cs="Times New Roman"/>
      <w:sz w:val="16"/>
      <w:szCs w:val="16"/>
      <w:lang w:eastAsia="de-DE"/>
    </w:rPr>
  </w:style>
  <w:style w:type="paragraph" w:customStyle="1" w:styleId="MITitel">
    <w:name w:val="MI Titel"/>
    <w:basedOn w:val="Standard"/>
    <w:rsid w:val="00936424"/>
    <w:pPr>
      <w:tabs>
        <w:tab w:val="right" w:pos="9866"/>
      </w:tabs>
      <w:spacing w:after="0" w:line="660" w:lineRule="exact"/>
      <w:jc w:val="left"/>
    </w:pPr>
    <w:rPr>
      <w:caps/>
      <w:sz w:val="58"/>
      <w:szCs w:val="54"/>
    </w:rPr>
  </w:style>
  <w:style w:type="paragraph" w:customStyle="1" w:styleId="ErsteKopfzeile">
    <w:name w:val="Erste Kopfzeile"/>
    <w:basedOn w:val="Kopfzeile"/>
    <w:rsid w:val="00936424"/>
    <w:pPr>
      <w:spacing w:after="4440"/>
    </w:pPr>
  </w:style>
  <w:style w:type="paragraph" w:customStyle="1" w:styleId="InhaltText">
    <w:name w:val="Inhalt Text"/>
    <w:basedOn w:val="Standard"/>
    <w:rsid w:val="00936424"/>
    <w:pPr>
      <w:numPr>
        <w:numId w:val="1"/>
      </w:numPr>
      <w:tabs>
        <w:tab w:val="left" w:pos="284"/>
      </w:tabs>
      <w:spacing w:before="60" w:after="20"/>
      <w:ind w:right="-284"/>
      <w:jc w:val="left"/>
    </w:pPr>
    <w:rPr>
      <w:szCs w:val="21"/>
    </w:rPr>
  </w:style>
  <w:style w:type="paragraph" w:customStyle="1" w:styleId="Rubrik">
    <w:name w:val="Rubrik"/>
    <w:basedOn w:val="berschrift1"/>
    <w:rsid w:val="00936424"/>
    <w:pPr>
      <w:tabs>
        <w:tab w:val="left" w:pos="567"/>
      </w:tabs>
      <w:spacing w:before="0" w:after="0"/>
      <w:ind w:left="113"/>
    </w:pPr>
    <w:rPr>
      <w:b w:val="0"/>
      <w:caps/>
      <w:spacing w:val="4"/>
    </w:rPr>
  </w:style>
  <w:style w:type="paragraph" w:customStyle="1" w:styleId="Unterrubrik">
    <w:name w:val="Unterrubrik"/>
    <w:basedOn w:val="Standard"/>
    <w:rsid w:val="00936424"/>
    <w:pPr>
      <w:keepNext/>
      <w:spacing w:before="60" w:after="60" w:line="280" w:lineRule="exact"/>
      <w:jc w:val="left"/>
      <w:outlineLvl w:val="0"/>
    </w:pPr>
    <w:rPr>
      <w:b/>
      <w:sz w:val="24"/>
    </w:rPr>
  </w:style>
  <w:style w:type="character" w:customStyle="1" w:styleId="Textfett">
    <w:name w:val="Text fett"/>
    <w:rsid w:val="00936424"/>
    <w:rPr>
      <w:rFonts w:ascii="Arial" w:hAnsi="Arial"/>
      <w:b/>
      <w:spacing w:val="-4"/>
    </w:rPr>
  </w:style>
  <w:style w:type="paragraph" w:customStyle="1" w:styleId="Punktliste">
    <w:name w:val="Punktliste"/>
    <w:basedOn w:val="Standard"/>
    <w:link w:val="PunktlisteZchn"/>
    <w:rsid w:val="00936424"/>
    <w:pPr>
      <w:numPr>
        <w:numId w:val="2"/>
      </w:numPr>
      <w:spacing w:after="60"/>
    </w:pPr>
    <w:rPr>
      <w:spacing w:val="-2"/>
    </w:rPr>
  </w:style>
  <w:style w:type="paragraph" w:styleId="Anrede">
    <w:name w:val="Salutation"/>
    <w:basedOn w:val="Standard"/>
    <w:next w:val="Standard"/>
    <w:link w:val="AnredeZchn"/>
    <w:rsid w:val="00936424"/>
    <w:pPr>
      <w:spacing w:after="80"/>
    </w:pPr>
    <w:rPr>
      <w:i/>
    </w:rPr>
  </w:style>
  <w:style w:type="character" w:customStyle="1" w:styleId="AnredeZchn">
    <w:name w:val="Anrede Zchn"/>
    <w:basedOn w:val="Absatz-Standardschriftart"/>
    <w:link w:val="Anrede"/>
    <w:rsid w:val="00936424"/>
    <w:rPr>
      <w:rFonts w:ascii="Arial" w:eastAsia="Times New Roman" w:hAnsi="Arial" w:cs="Times New Roman"/>
      <w:i/>
      <w:sz w:val="18"/>
      <w:szCs w:val="20"/>
      <w:lang w:eastAsia="de-DE"/>
    </w:rPr>
  </w:style>
  <w:style w:type="paragraph" w:customStyle="1" w:styleId="InhaltTitel">
    <w:name w:val="Inhalt Titel"/>
    <w:basedOn w:val="Standard"/>
    <w:rsid w:val="00936424"/>
    <w:pPr>
      <w:spacing w:before="300" w:after="120"/>
      <w:jc w:val="left"/>
    </w:pPr>
    <w:rPr>
      <w:b/>
      <w:sz w:val="24"/>
      <w:szCs w:val="21"/>
    </w:rPr>
  </w:style>
  <w:style w:type="paragraph" w:customStyle="1" w:styleId="TabelleText">
    <w:name w:val="Tabelle Text"/>
    <w:basedOn w:val="Standard"/>
    <w:link w:val="TabelleTextZchn"/>
    <w:rsid w:val="00936424"/>
    <w:pPr>
      <w:spacing w:before="20" w:after="40" w:line="200" w:lineRule="exact"/>
      <w:jc w:val="left"/>
      <w:outlineLvl w:val="0"/>
    </w:pPr>
  </w:style>
  <w:style w:type="paragraph" w:customStyle="1" w:styleId="MIAusgabe">
    <w:name w:val="MI Ausgabe"/>
    <w:basedOn w:val="Standard"/>
    <w:rsid w:val="00936424"/>
    <w:pPr>
      <w:spacing w:after="0" w:line="240" w:lineRule="auto"/>
      <w:ind w:left="284"/>
      <w:jc w:val="center"/>
    </w:pPr>
    <w:rPr>
      <w:b/>
      <w:sz w:val="44"/>
    </w:rPr>
  </w:style>
  <w:style w:type="paragraph" w:customStyle="1" w:styleId="Anker">
    <w:name w:val="Anker"/>
    <w:basedOn w:val="Standard"/>
    <w:rsid w:val="00936424"/>
    <w:pPr>
      <w:spacing w:before="180" w:after="180"/>
    </w:pPr>
  </w:style>
  <w:style w:type="paragraph" w:customStyle="1" w:styleId="MIMonat">
    <w:name w:val="MI Monat"/>
    <w:basedOn w:val="Standard"/>
    <w:rsid w:val="00936424"/>
    <w:pPr>
      <w:spacing w:line="240" w:lineRule="auto"/>
      <w:jc w:val="left"/>
    </w:pPr>
    <w:rPr>
      <w:b/>
      <w:sz w:val="40"/>
      <w:szCs w:val="28"/>
    </w:rPr>
  </w:style>
  <w:style w:type="character" w:customStyle="1" w:styleId="MITrennergro">
    <w:name w:val="MI Trenner groß"/>
    <w:rsid w:val="00936424"/>
    <w:rPr>
      <w:rFonts w:ascii="TheSans B2 ExtraLight" w:hAnsi="TheSans B2 ExtraLight"/>
      <w:color w:val="666666"/>
      <w:sz w:val="90"/>
    </w:rPr>
  </w:style>
  <w:style w:type="paragraph" w:customStyle="1" w:styleId="Aufzhlung">
    <w:name w:val="Aufzählung"/>
    <w:basedOn w:val="Standard"/>
    <w:link w:val="AufzhlungZchn"/>
    <w:rsid w:val="00936424"/>
    <w:pPr>
      <w:numPr>
        <w:numId w:val="3"/>
      </w:numPr>
      <w:spacing w:after="60"/>
    </w:pPr>
    <w:rPr>
      <w:rFonts w:cs="Arial"/>
      <w:szCs w:val="18"/>
    </w:rPr>
  </w:style>
  <w:style w:type="character" w:customStyle="1" w:styleId="PunktlisteZchn">
    <w:name w:val="Punktliste Zchn"/>
    <w:link w:val="Punktliste"/>
    <w:rsid w:val="00936424"/>
    <w:rPr>
      <w:rFonts w:ascii="Arial" w:eastAsia="Times New Roman" w:hAnsi="Arial" w:cs="Times New Roman"/>
      <w:spacing w:val="-2"/>
      <w:sz w:val="18"/>
      <w:szCs w:val="20"/>
      <w:lang w:eastAsia="de-DE"/>
    </w:rPr>
  </w:style>
  <w:style w:type="character" w:customStyle="1" w:styleId="AufzhlungZchn">
    <w:name w:val="Aufzählung Zchn"/>
    <w:link w:val="Aufzhlung"/>
    <w:rsid w:val="00936424"/>
    <w:rPr>
      <w:rFonts w:ascii="Arial" w:eastAsia="Times New Roman" w:hAnsi="Arial" w:cs="Arial"/>
      <w:sz w:val="18"/>
      <w:szCs w:val="18"/>
      <w:lang w:eastAsia="de-DE"/>
    </w:rPr>
  </w:style>
  <w:style w:type="character" w:customStyle="1" w:styleId="TabelleTextZchn">
    <w:name w:val="Tabelle Text Zchn"/>
    <w:link w:val="TabelleText"/>
    <w:locked/>
    <w:rsid w:val="00936424"/>
    <w:rPr>
      <w:rFonts w:ascii="Arial" w:eastAsia="Times New Roman" w:hAnsi="Arial" w:cs="Times New Roman"/>
      <w:sz w:val="18"/>
      <w:szCs w:val="20"/>
      <w:lang w:eastAsia="de-DE"/>
    </w:rPr>
  </w:style>
  <w:style w:type="paragraph" w:styleId="Listenabsatz">
    <w:name w:val="List Paragraph"/>
    <w:basedOn w:val="Standard"/>
    <w:uiPriority w:val="34"/>
    <w:qFormat/>
    <w:rsid w:val="00936424"/>
    <w:pPr>
      <w:ind w:left="720"/>
      <w:contextualSpacing/>
    </w:pPr>
  </w:style>
  <w:style w:type="paragraph" w:styleId="Sprechblasentext">
    <w:name w:val="Balloon Text"/>
    <w:basedOn w:val="Standard"/>
    <w:link w:val="SprechblasentextZchn"/>
    <w:uiPriority w:val="99"/>
    <w:semiHidden/>
    <w:unhideWhenUsed/>
    <w:rsid w:val="009364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42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dacdbca2-805d-4bad-b066-aea466aa2415</BSO999929>
</file>

<file path=customXml/itemProps1.xml><?xml version="1.0" encoding="utf-8"?>
<ds:datastoreItem xmlns:ds="http://schemas.openxmlformats.org/officeDocument/2006/customXml" ds:itemID="{BF8CDC13-5476-465F-86AF-DD416C4D3BD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Meurer</dc:creator>
  <cp:lastModifiedBy>Birgit Nicklas</cp:lastModifiedBy>
  <cp:revision>8</cp:revision>
  <cp:lastPrinted>2013-12-04T10:25:00Z</cp:lastPrinted>
  <dcterms:created xsi:type="dcterms:W3CDTF">2013-12-04T08:56:00Z</dcterms:created>
  <dcterms:modified xsi:type="dcterms:W3CDTF">2013-12-04T10:28:00Z</dcterms:modified>
</cp:coreProperties>
</file>